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Configuration Summary</w:t>
      </w:r>
    </w:p>
    <w:p>
      <w:r>
        <w:t>The Linux system was hardened following security best practices. User accounts were reviewed, and no unused or unauthorized human users were found. Sudo access was restricted based on the principle of least privilege.</w:t>
      </w:r>
    </w:p>
    <w:p>
      <w:r>
        <w:t>SSH access was secured by disabling direct root login and implementing key-based authentication. System updates were reviewed and applied cautiously due to Kali Linux rolling-release behavior.</w:t>
      </w:r>
    </w:p>
    <w:p>
      <w:r>
        <w:t>A firewall was configured using UFW to block unauthorized incoming traffic, allowing only essential services. Unnecessary services were stopped and disabled to reduce attack surface.</w:t>
      </w:r>
    </w:p>
    <w:p>
      <w:r>
        <w:t>Sensitive system files were protected using strict file permissions, and system logs were reviewed to monitor authentication and system activity.</w:t>
      </w:r>
    </w:p>
    <w:p>
      <w:r>
        <w:t>Overall, these measures reduced the system’s attack surface, improved access control, and enhanced system security and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