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atistical-methods"/>
      <w:bookmarkEnd w:id="21"/>
      <w:r>
        <w:t xml:space="preserve">Statistical Methods</w:t>
      </w:r>
    </w:p>
    <w:p>
      <w:pPr>
        <w:pStyle w:val="FirstParagraph"/>
      </w:pPr>
      <w:r>
        <w:t xml:space="preserve">Demographic and clinical characteristics were compared using two-sample t-tests, Wilcox rank-sum tests, and chi-square tests for continuous, non-normally distributed continuous and categorical variables. Significance was set at 0.05. R version 3.1.1 software (R Foundation for Statistical Computing, Vienna, Austria,</w:t>
      </w:r>
      <w:r>
        <w:t xml:space="preserve"> </w:t>
      </w:r>
      <w:hyperlink r:id="rId22">
        <w:r>
          <w:rPr>
            <w:rStyle w:val="Hyperlink"/>
          </w:rPr>
          <w:t xml:space="preserve">http://www.R-project.org/</w:t>
        </w:r>
      </w:hyperlink>
      <w:r>
        <w:t xml:space="preserve">) and rmarkdown: Dynamic Documents for R. R package version 0.3.3.</w:t>
      </w:r>
      <w:r>
        <w:t xml:space="preserve"> </w:t>
      </w:r>
      <w:hyperlink r:id="rId23">
        <w:r>
          <w:rPr>
            <w:rStyle w:val="Hyperlink"/>
          </w:rPr>
          <w:t xml:space="preserve">http://CRAN.R-project.org/package=rmarkdown</w:t>
        </w:r>
      </w:hyperlink>
      <w:r>
        <w:t xml:space="preserve"> </w:t>
      </w:r>
      <w:r>
        <w:t xml:space="preserve">were utilized.</w:t>
      </w:r>
    </w:p>
    <w:p>
      <w:pPr>
        <w:pStyle w:val="BodyText"/>
      </w:pPr>
      <w:r>
        <w:t xml:space="preserve">Results presented are based on the dataset R Built-in Iris.</w:t>
      </w:r>
    </w:p>
    <w:p>
      <w:pPr>
        <w:pStyle w:val="Heading1"/>
      </w:pPr>
      <w:bookmarkStart w:id="24" w:name="results"/>
      <w:bookmarkEnd w:id="24"/>
      <w:r>
        <w:t xml:space="preserve">Results</w:t>
      </w:r>
    </w:p>
    <w:p>
      <w:pPr>
        <w:pStyle w:val="Heading2"/>
      </w:pPr>
      <w:bookmarkStart w:id="25" w:name="descriptive"/>
      <w:bookmarkEnd w:id="25"/>
      <w:r>
        <w:t xml:space="preserve">Descriptive</w:t>
      </w:r>
    </w:p>
    <w:p>
      <w:pPr>
        <w:pStyle w:val="FirstParagraph"/>
      </w:pPr>
      <w:r>
        <w:rPr>
          <w:b/>
        </w:rPr>
        <w:t xml:space="preserve">Table 1. Demographic and Clinical Characteristics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Setosa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Versicolor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Virginica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>
            <w:pPr>
              <w:pStyle w:val="Compact"/>
              <w:jc w:val="left"/>
            </w:pPr>
            <w:r>
              <w:t xml:space="preserve">5.84±0.83</w:t>
            </w:r>
          </w:p>
        </w:tc>
        <w:tc>
          <w:p>
            <w:pPr>
              <w:pStyle w:val="Compact"/>
              <w:jc w:val="left"/>
            </w:pPr>
            <w:r>
              <w:t xml:space="preserve">5.01±0.35</w:t>
            </w:r>
          </w:p>
        </w:tc>
        <w:tc>
          <w:p>
            <w:pPr>
              <w:pStyle w:val="Compact"/>
              <w:jc w:val="left"/>
            </w:pPr>
            <w:r>
              <w:t xml:space="preserve">5.94±0.52</w:t>
            </w:r>
          </w:p>
        </w:tc>
        <w:tc>
          <w:p>
            <w:pPr>
              <w:pStyle w:val="Compact"/>
              <w:jc w:val="left"/>
            </w:pPr>
            <w:r>
              <w:t xml:space="preserve">6.59±0.64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 Length</w:t>
            </w:r>
          </w:p>
        </w:tc>
        <w:tc>
          <w:p>
            <w:pPr>
              <w:pStyle w:val="Compact"/>
              <w:jc w:val="left"/>
            </w:pPr>
            <w:r>
              <w:t xml:space="preserve">3.76±1.77</w:t>
            </w:r>
          </w:p>
        </w:tc>
        <w:tc>
          <w:p>
            <w:pPr>
              <w:pStyle w:val="Compact"/>
              <w:jc w:val="left"/>
            </w:pPr>
            <w:r>
              <w:t xml:space="preserve">1.46±0.17</w:t>
            </w:r>
          </w:p>
        </w:tc>
        <w:tc>
          <w:p>
            <w:pPr>
              <w:pStyle w:val="Compact"/>
              <w:jc w:val="left"/>
            </w:pPr>
            <w:r>
              <w:t xml:space="preserve">4.26±0.47</w:t>
            </w:r>
          </w:p>
        </w:tc>
        <w:tc>
          <w:p>
            <w:pPr>
              <w:pStyle w:val="Compact"/>
              <w:jc w:val="left"/>
            </w:pPr>
            <w:r>
              <w:t xml:space="preserve">5.55±0.55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weight</w:t>
            </w:r>
          </w:p>
        </w:tc>
        <w:tc>
          <w:p>
            <w:pPr>
              <w:pStyle w:val="Compact"/>
              <w:jc w:val="left"/>
            </w:pPr>
            <w:r>
              <w:t xml:space="preserve">3.06±0.44</w:t>
            </w:r>
          </w:p>
        </w:tc>
        <w:tc>
          <w:p>
            <w:pPr>
              <w:pStyle w:val="Compact"/>
              <w:jc w:val="left"/>
            </w:pPr>
            <w:r>
              <w:t xml:space="preserve">3.43±0.38</w:t>
            </w:r>
          </w:p>
        </w:tc>
        <w:tc>
          <w:p>
            <w:pPr>
              <w:pStyle w:val="Compact"/>
              <w:jc w:val="left"/>
            </w:pPr>
            <w:r>
              <w:t xml:space="preserve">2.77±0.31</w:t>
            </w:r>
          </w:p>
        </w:tc>
        <w:tc>
          <w:p>
            <w:pPr>
              <w:pStyle w:val="Compact"/>
              <w:jc w:val="left"/>
            </w:pPr>
            <w:r>
              <w:t xml:space="preserve">2.97±0.32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 Width</w:t>
            </w:r>
          </w:p>
        </w:tc>
        <w:tc>
          <w:p>
            <w:pPr>
              <w:pStyle w:val="Compact"/>
              <w:jc w:val="left"/>
            </w:pPr>
            <w:r>
              <w:t xml:space="preserve">1.2±0.76</w:t>
            </w:r>
          </w:p>
        </w:tc>
        <w:tc>
          <w:p>
            <w:pPr>
              <w:pStyle w:val="Compact"/>
              <w:jc w:val="left"/>
            </w:pPr>
            <w:r>
              <w:t xml:space="preserve">0.25±0.11</w:t>
            </w:r>
          </w:p>
        </w:tc>
        <w:tc>
          <w:p>
            <w:pPr>
              <w:pStyle w:val="Compact"/>
              <w:jc w:val="left"/>
            </w:pPr>
            <w:r>
              <w:t xml:space="preserve">1.33±0.2</w:t>
            </w:r>
          </w:p>
        </w:tc>
        <w:tc>
          <w:p>
            <w:pPr>
              <w:pStyle w:val="Compact"/>
              <w:jc w:val="left"/>
            </w:pPr>
            <w:r>
              <w:t xml:space="preserve">2.03±0.27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>
            <w:pPr>
              <w:pStyle w:val="Compact"/>
              <w:jc w:val="left"/>
            </w:pPr>
            <w:r>
              <w:t xml:space="preserve">22 (15%)</w:t>
            </w:r>
          </w:p>
        </w:tc>
        <w:tc>
          <w:p>
            <w:pPr>
              <w:pStyle w:val="Compact"/>
              <w:jc w:val="left"/>
            </w:pPr>
            <w:r>
              <w:t xml:space="preserve">20 (91%)</w:t>
            </w:r>
          </w:p>
        </w:tc>
        <w:tc>
          <w:p>
            <w:pPr>
              <w:pStyle w:val="Compact"/>
              <w:jc w:val="left"/>
            </w:pPr>
            <w:r>
              <w:t xml:space="preserve">1 (5%)</w:t>
            </w:r>
          </w:p>
        </w:tc>
        <w:tc>
          <w:p>
            <w:pPr>
              <w:pStyle w:val="Compact"/>
              <w:jc w:val="left"/>
            </w:pPr>
            <w:r>
              <w:t xml:space="preserve">1 (5%)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*Median and IQR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rPr>
          <w:b/>
        </w:rPr>
        <w:t xml:space="preserve">Table 2. Demographic and Clinical Characteristics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Versicolor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Virginica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>
            <w:pPr>
              <w:pStyle w:val="Compact"/>
              <w:jc w:val="left"/>
            </w:pPr>
            <w:r>
              <w:t xml:space="preserve">6±1</w:t>
            </w:r>
          </w:p>
        </w:tc>
        <w:tc>
          <w:p>
            <w:pPr>
              <w:pStyle w:val="Compact"/>
              <w:jc w:val="left"/>
            </w:pPr>
            <w:r>
              <w:t xml:space="preserve">6±1</w:t>
            </w:r>
          </w:p>
        </w:tc>
        <w:tc>
          <w:p>
            <w:pPr>
              <w:pStyle w:val="Compact"/>
              <w:jc w:val="left"/>
            </w:pPr>
            <w:r>
              <w:t xml:space="preserve">7±1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 Length</w:t>
            </w:r>
          </w:p>
        </w:tc>
        <w:tc>
          <w:p>
            <w:pPr>
              <w:pStyle w:val="Compact"/>
              <w:jc w:val="left"/>
            </w:pPr>
            <w:r>
              <w:t xml:space="preserve">5±1</w:t>
            </w:r>
          </w:p>
        </w:tc>
        <w:tc>
          <w:p>
            <w:pPr>
              <w:pStyle w:val="Compact"/>
              <w:jc w:val="left"/>
            </w:pPr>
            <w:r>
              <w:t xml:space="preserve">4±0</w:t>
            </w:r>
          </w:p>
        </w:tc>
        <w:tc>
          <w:p>
            <w:pPr>
              <w:pStyle w:val="Compact"/>
              <w:jc w:val="left"/>
            </w:pPr>
            <w:r>
              <w:t xml:space="preserve">6±1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weight</w:t>
            </w:r>
          </w:p>
        </w:tc>
        <w:tc>
          <w:p>
            <w:pPr>
              <w:pStyle w:val="Compact"/>
              <w:jc w:val="left"/>
            </w:pPr>
            <w:r>
              <w:t xml:space="preserve">3±0</w:t>
            </w:r>
          </w:p>
        </w:tc>
        <w:tc>
          <w:p>
            <w:pPr>
              <w:pStyle w:val="Compact"/>
              <w:jc w:val="left"/>
            </w:pPr>
            <w:r>
              <w:t xml:space="preserve">3±0</w:t>
            </w:r>
          </w:p>
        </w:tc>
        <w:tc>
          <w:p>
            <w:pPr>
              <w:pStyle w:val="Compact"/>
              <w:jc w:val="left"/>
            </w:pPr>
            <w:r>
              <w:t xml:space="preserve">3±0</w:t>
            </w:r>
          </w:p>
        </w:tc>
        <w:tc>
          <w:p>
            <w:pPr>
              <w:pStyle w:val="Compact"/>
              <w:jc w:val="left"/>
            </w:pPr>
            <w:r>
              <w:t xml:space="preserve">0.0018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 Width</w:t>
            </w:r>
          </w:p>
        </w:tc>
        <w:tc>
          <w:p>
            <w:pPr>
              <w:pStyle w:val="Compact"/>
              <w:jc w:val="left"/>
            </w:pPr>
            <w:r>
              <w:t xml:space="preserve">2±0</w:t>
            </w:r>
          </w:p>
        </w:tc>
        <w:tc>
          <w:p>
            <w:pPr>
              <w:pStyle w:val="Compact"/>
              <w:jc w:val="left"/>
            </w:pPr>
            <w:r>
              <w:t xml:space="preserve">1±0</w:t>
            </w:r>
          </w:p>
        </w:tc>
        <w:tc>
          <w:p>
            <w:pPr>
              <w:pStyle w:val="Compact"/>
              <w:jc w:val="left"/>
            </w:pPr>
            <w:r>
              <w:t xml:space="preserve">2±0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p>
            <w:pPr>
              <w:pStyle w:val="Compact"/>
              <w:jc w:val="left"/>
            </w:pPr>
            <w:r>
              <w:t xml:space="preserve">98 (98%)</w:t>
            </w:r>
          </w:p>
        </w:tc>
        <w:tc>
          <w:p>
            <w:pPr>
              <w:pStyle w:val="Compact"/>
              <w:jc w:val="left"/>
            </w:pPr>
            <w:r>
              <w:t xml:space="preserve">49 (50%)</w:t>
            </w:r>
          </w:p>
        </w:tc>
        <w:tc>
          <w:p>
            <w:pPr>
              <w:pStyle w:val="Compact"/>
              <w:jc w:val="left"/>
            </w:pPr>
            <w:r>
              <w:t xml:space="preserve">49 (50%)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&gt;=5</w:t>
            </w:r>
          </w:p>
        </w:tc>
        <w:tc>
          <w:p>
            <w:pPr>
              <w:pStyle w:val="Compact"/>
              <w:jc w:val="left"/>
            </w:pPr>
            <w:r>
              <w:t xml:space="preserve">2 (2%)</w:t>
            </w:r>
          </w:p>
        </w:tc>
        <w:tc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*Median and IQR</w:t>
      </w:r>
    </w:p>
    <w:p>
      <w:pPr>
        <w:pStyle w:val="BodyText"/>
      </w:pPr>
      <w:r>
        <w:rPr>
          <w:b/>
        </w:rPr>
        <w:t xml:space="preserve">Table 3. Demographic and Clinical Characteristics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>
            <w:pPr>
              <w:pStyle w:val="Compact"/>
              <w:jc w:val="left"/>
            </w:pPr>
            <w:r>
              <w:t xml:space="preserve">5±0.4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 Length</w:t>
            </w:r>
          </w:p>
        </w:tc>
        <w:tc>
          <w:p>
            <w:pPr>
              <w:pStyle w:val="Compact"/>
              <w:jc w:val="left"/>
            </w:pPr>
            <w:r>
              <w:t xml:space="preserve">1.5±0.2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weight</w:t>
            </w:r>
          </w:p>
        </w:tc>
        <w:tc>
          <w:p>
            <w:pPr>
              <w:pStyle w:val="Compact"/>
              <w:jc w:val="left"/>
            </w:pPr>
            <w:r>
              <w:t xml:space="preserve">3.4±0.4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 Width</w:t>
            </w:r>
          </w:p>
        </w:tc>
        <w:tc>
          <w:p>
            <w:pPr>
              <w:pStyle w:val="Compact"/>
              <w:jc w:val="left"/>
            </w:pPr>
            <w:r>
              <w:t xml:space="preserve">0.2±0.1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&gt;=5</w:t>
            </w:r>
          </w:p>
        </w:tc>
        <w:tc>
          <w:p>
            <w:pPr>
              <w:pStyle w:val="Compact"/>
              <w:jc w:val="left"/>
            </w:pPr>
            <w:r>
              <w:t xml:space="preserve">20 (40%)</w:t>
            </w:r>
          </w:p>
        </w:tc>
      </w:tr>
    </w:tbl>
    <w:p>
      <w:pPr>
        <w:pStyle w:val="BodyText"/>
      </w:pPr>
      <w:r>
        <w:t xml:space="preserve">*Median and IQR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f2a7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AN.R-project.org/package=rmarkdown" TargetMode="External" /><Relationship Type="http://schemas.openxmlformats.org/officeDocument/2006/relationships/hyperlink" Id="rId22" Target="http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AN.R-project.org/package=rmarkdown" TargetMode="External" /><Relationship Type="http://schemas.openxmlformats.org/officeDocument/2006/relationships/hyperlink" Id="rId2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2017-08-02T21:25:23Z</dcterms:created>
  <dcterms:modified xsi:type="dcterms:W3CDTF">2017-08-02T21:25:23Z</dcterms:modified>
</cp:coreProperties>
</file>