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r w:rsidRPr="00A711FA">
        <w:rPr>
          <w:b/>
          <w:sz w:val="36"/>
          <w:szCs w:val="36"/>
        </w:rPr>
        <w:t>Mureil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p>
    <w:p w:rsidR="00A711FA" w:rsidRDefault="00A711FA" w:rsidP="00A711FA">
      <w:r w:rsidRPr="009F0D88">
        <w:rPr>
          <w:b/>
        </w:rPr>
        <w:t>Software:</w:t>
      </w:r>
      <w:r>
        <w:t xml:space="preserve"> see code.google.com, project mureil-ga.</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9F0D88" w:rsidRDefault="009F0D88" w:rsidP="00A711FA"/>
    <w:p w:rsidR="00A711FA" w:rsidRDefault="00A711FA" w:rsidP="00A711FA">
      <w:pPr>
        <w:pStyle w:val="Heading2"/>
      </w:pPr>
      <w:r>
        <w:lastRenderedPageBreak/>
        <w:t xml:space="preserve"> Outline of modelling approach</w:t>
      </w:r>
    </w:p>
    <w:p w:rsidR="00A711FA" w:rsidRPr="00A711FA" w:rsidRDefault="00A711FA" w:rsidP="00A711FA">
      <w:pPr>
        <w:pStyle w:val="Heading3"/>
      </w:pPr>
      <w:r>
        <w:t>Meteorological data</w:t>
      </w:r>
    </w:p>
    <w:p w:rsidR="00A711FA" w:rsidRDefault="00A711FA" w:rsidP="00A711FA">
      <w:pPr>
        <w:pStyle w:val="Heading3"/>
      </w:pPr>
      <w:r>
        <w:t>Genetic algorithm</w:t>
      </w:r>
    </w:p>
    <w:p w:rsidR="00A711FA" w:rsidRDefault="00A711FA" w:rsidP="00A711FA">
      <w:pPr>
        <w:pStyle w:val="Heading3"/>
      </w:pPr>
      <w:r>
        <w:t>Multi-period operation</w:t>
      </w:r>
    </w:p>
    <w:p w:rsidR="00A711FA" w:rsidRDefault="00747E7B" w:rsidP="00A711FA">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E703B9" w:rsidRPr="00E703B9" w:rsidRDefault="00E703B9" w:rsidP="00E703B9">
      <w:pPr>
        <w:pStyle w:val="Heading3"/>
      </w:pPr>
      <w:r>
        <w:t>Single vs multi-period values</w:t>
      </w:r>
    </w:p>
    <w:p w:rsidR="001F2196" w:rsidRDefault="001F2196" w:rsidP="00E703B9">
      <w:pPr>
        <w:pStyle w:val="Heading3"/>
      </w:pPr>
      <w:r>
        <w:t>config_spec help</w:t>
      </w:r>
    </w:p>
    <w:p w:rsidR="00E703B9" w:rsidRDefault="00E703B9" w:rsidP="00E703B9">
      <w:pPr>
        <w:pStyle w:val="Heading3"/>
      </w:pPr>
      <w:r>
        <w:t>Global variables</w:t>
      </w:r>
    </w:p>
    <w:p w:rsidR="00E703B9" w:rsidRPr="00E703B9" w:rsidRDefault="00E703B9" w:rsidP="00E703B9">
      <w:pPr>
        <w:pStyle w:val="Heading3"/>
      </w:pPr>
      <w:r>
        <w:t>Interaction between defaults, globals and configuration file(s)</w:t>
      </w:r>
    </w:p>
    <w:p w:rsidR="00A711FA" w:rsidRDefault="00A711FA" w:rsidP="00A711FA">
      <w:pPr>
        <w:pStyle w:val="Heading2"/>
      </w:pPr>
      <w:r>
        <w:t>Scripts to run simulations</w:t>
      </w:r>
    </w:p>
    <w:p w:rsidR="00A764A9" w:rsidRDefault="00A764A9" w:rsidP="00A764A9">
      <w:pPr>
        <w:pStyle w:val="Heading3"/>
      </w:pPr>
      <w:r>
        <w:t>Command-line options</w:t>
      </w:r>
    </w:p>
    <w:p w:rsidR="00E703B9" w:rsidRPr="00E703B9" w:rsidRDefault="00E703B9" w:rsidP="00E703B9">
      <w:pPr>
        <w:pStyle w:val="Heading3"/>
      </w:pPr>
      <w:r>
        <w:t>Setting starting points</w:t>
      </w:r>
    </w:p>
    <w:p w:rsidR="009D03BC" w:rsidRPr="009D03BC" w:rsidRDefault="009D03BC" w:rsidP="009D03BC">
      <w:pPr>
        <w:pStyle w:val="Heading2"/>
      </w:pPr>
      <w:r>
        <w:t>Helper scripts for output processing</w:t>
      </w:r>
    </w:p>
    <w:p w:rsidR="00A711FA" w:rsidRDefault="00A711FA" w:rsidP="00A711FA">
      <w:pPr>
        <w:pStyle w:val="Heading1"/>
      </w:pPr>
      <w:r>
        <w:t>Software structure</w:t>
      </w:r>
    </w:p>
    <w:p w:rsidR="00A711FA" w:rsidRDefault="00A711FA" w:rsidP="00A711FA">
      <w:pPr>
        <w:pStyle w:val="Heading2"/>
      </w:pPr>
      <w:r>
        <w:t>Code documentation</w:t>
      </w:r>
    </w:p>
    <w:p w:rsidR="001F2196" w:rsidRPr="001F2196" w:rsidRDefault="001F2196" w:rsidP="001F2196">
      <w:pPr>
        <w:pStyle w:val="Heading3"/>
      </w:pPr>
      <w:r>
        <w:t>Python ‘help’ command</w:t>
      </w:r>
    </w:p>
    <w:p w:rsidR="00A54FFE" w:rsidRDefault="00A54FFE" w:rsidP="00E703B9">
      <w:pPr>
        <w:pStyle w:val="Heading2"/>
      </w:pPr>
      <w:r>
        <w:t>Python packages</w:t>
      </w:r>
    </w:p>
    <w:p w:rsidR="00E703B9" w:rsidRDefault="00A711FA" w:rsidP="00E703B9">
      <w:pPr>
        <w:pStyle w:val="Heading2"/>
      </w:pPr>
      <w:r>
        <w:t>Configuration system</w:t>
      </w:r>
      <w:r w:rsidR="008A299B">
        <w:t xml:space="preserve"> &amp; Model framework</w:t>
      </w:r>
    </w:p>
    <w:p w:rsidR="00E703B9" w:rsidRDefault="00E703B9" w:rsidP="00E703B9">
      <w:pPr>
        <w:pStyle w:val="Heading3"/>
      </w:pPr>
      <w:r>
        <w:t>config_spec</w:t>
      </w:r>
    </w:p>
    <w:p w:rsidR="008A299B" w:rsidRPr="008A299B" w:rsidRDefault="008A299B" w:rsidP="008A299B"/>
    <w:p w:rsidR="00A764A9" w:rsidRDefault="00A764A9" w:rsidP="00A711FA">
      <w:pPr>
        <w:pStyle w:val="Heading2"/>
      </w:pPr>
      <w:r>
        <w:lastRenderedPageBreak/>
        <w:t>Data objects</w:t>
      </w:r>
    </w:p>
    <w:p w:rsidR="00A764A9" w:rsidRDefault="00A764A9" w:rsidP="00A764A9">
      <w:pPr>
        <w:pStyle w:val="Heading3"/>
      </w:pPr>
      <w:r>
        <w:t>NetCDF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A711FA" w:rsidRDefault="00A764A9" w:rsidP="00A711FA">
      <w:pPr>
        <w:pStyle w:val="Heading2"/>
      </w:pPr>
      <w:r>
        <w:t>Master objects</w:t>
      </w:r>
    </w:p>
    <w:p w:rsidR="00490343" w:rsidRPr="00490343" w:rsidRDefault="00490343" w:rsidP="00490343">
      <w:pPr>
        <w:pStyle w:val="Heading3"/>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&gt; python –m unittest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p>
    <w:p w:rsidR="00A711FA" w:rsidRDefault="00A764A9" w:rsidP="00A764A9">
      <w:pPr>
        <w:pStyle w:val="Heading1"/>
      </w:pPr>
      <w:r>
        <w:lastRenderedPageBreak/>
        <w:t>Web interface version (GE demo)</w:t>
      </w:r>
    </w:p>
    <w:p w:rsidR="00A764A9" w:rsidRDefault="00A764A9" w:rsidP="00A764A9">
      <w:pPr>
        <w:pStyle w:val="Heading2"/>
      </w:pPr>
      <w:r>
        <w:t>Scripts to run GE demo</w:t>
      </w:r>
    </w:p>
    <w:p w:rsidR="00A764A9" w:rsidRDefault="00A764A9" w:rsidP="00A764A9">
      <w:pPr>
        <w:pStyle w:val="Heading2"/>
      </w:pPr>
      <w:r>
        <w:t>Format of GE demo inputs and outputs</w:t>
      </w:r>
    </w:p>
    <w:p w:rsidR="00A764A9" w:rsidRPr="00A764A9" w:rsidRDefault="00A764A9" w:rsidP="00A764A9">
      <w:pPr>
        <w:pStyle w:val="Heading2"/>
      </w:pPr>
      <w:r>
        <w:t>Server implementation</w:t>
      </w:r>
    </w:p>
    <w:p w:rsidR="00A711FA" w:rsidRDefault="00A711FA" w:rsidP="00A711FA">
      <w:pPr>
        <w:pStyle w:val="Heading1"/>
      </w:pPr>
      <w:r>
        <w:t>Further work</w:t>
      </w:r>
    </w:p>
    <w:p w:rsidR="008A299B" w:rsidRDefault="008A299B" w:rsidP="008A299B">
      <w:pPr>
        <w:pStyle w:val="Heading2"/>
      </w:pPr>
      <w:r>
        <w:t>Unfinished details</w:t>
      </w:r>
      <w:r w:rsidR="00CA3AE1">
        <w:t xml:space="preserve"> in models</w:t>
      </w:r>
    </w:p>
    <w:p w:rsidR="000A7C95" w:rsidRPr="000A7C95" w:rsidRDefault="000A7C95" w:rsidP="000A7C95">
      <w:pPr>
        <w:pStyle w:val="Heading3"/>
      </w:pPr>
      <w:r>
        <w:t>Handling of negative params in gene</w:t>
      </w:r>
    </w:p>
    <w:p w:rsidR="001338E0" w:rsidRDefault="001338E0" w:rsidP="008A299B">
      <w:pPr>
        <w:pStyle w:val="Heading3"/>
      </w:pPr>
      <w:r>
        <w:t>Simple transmission model multi-period</w:t>
      </w:r>
    </w:p>
    <w:p w:rsidR="008A299B" w:rsidRDefault="008A299B" w:rsidP="008A299B">
      <w:pPr>
        <w:pStyle w:val="Heading3"/>
      </w:pPr>
      <w:r>
        <w:t>Handling of discount rates</w:t>
      </w:r>
    </w:p>
    <w:p w:rsidR="00CA3AE1" w:rsidRPr="009D3209" w:rsidRDefault="00CA3AE1" w:rsidP="00CA3AE1">
      <w:pPr>
        <w:pStyle w:val="Heading3"/>
      </w:pPr>
      <w:r>
        <w:t>Terminal values for models</w:t>
      </w:r>
    </w:p>
    <w:p w:rsidR="008A299B" w:rsidRDefault="008A299B" w:rsidP="008A299B">
      <w:pPr>
        <w:pStyle w:val="Heading3"/>
      </w:pPr>
      <w:r>
        <w:t>Multi-period carbon handling in thermal models</w:t>
      </w:r>
    </w:p>
    <w:p w:rsidR="008A299B" w:rsidRDefault="008A299B" w:rsidP="00CA3AE1">
      <w:pPr>
        <w:pStyle w:val="Heading2"/>
      </w:pPr>
      <w:r>
        <w:t xml:space="preserve">Completion of </w:t>
      </w:r>
      <w:r w:rsidR="001338E0">
        <w:t>formal</w:t>
      </w:r>
      <w:r>
        <w:t xml:space="preserve"> testing</w:t>
      </w:r>
    </w:p>
    <w:p w:rsidR="001338E0" w:rsidRDefault="001338E0" w:rsidP="001338E0">
      <w:r>
        <w:t>Some sections of the code are lightly tested, and/or not in the test set. Extra testing here would add confidence to the correctness of the models.</w:t>
      </w:r>
    </w:p>
    <w:p w:rsidR="001338E0" w:rsidRDefault="001338E0" w:rsidP="00A26CAB">
      <w:pPr>
        <w:pStyle w:val="Heading3"/>
      </w:pPr>
      <w:r>
        <w:t>timestep_hrs</w:t>
      </w:r>
    </w:p>
    <w:p w:rsidR="001338E0" w:rsidRPr="001338E0" w:rsidRDefault="001338E0" w:rsidP="001338E0">
      <w:r>
        <w:t>The models are written to accept the parameter ‘timestep_hrs’ which specifies the timestep of the data timeseries. This is then used to calculate the MWh of electricity from a timeseries of MW, and the carbon emissions. Most of the use of the simulation to date has been with timestep_hrs = 1.0. A specific review is needed of all models to check that timestep_hrs is correctly applied, b</w:t>
      </w:r>
      <w:r w:rsidR="005D14AB">
        <w:t>acked up with simple unit tests, and system tests where half-hourly and/or two-hourly data is used.</w:t>
      </w:r>
      <w:bookmarkStart w:id="0" w:name="_GoBack"/>
      <w:bookmarkEnd w:id="0"/>
    </w:p>
    <w:p w:rsidR="008A299B" w:rsidRDefault="008A299B" w:rsidP="008A299B">
      <w:pPr>
        <w:pStyle w:val="Heading2"/>
      </w:pPr>
      <w:r>
        <w:lastRenderedPageBreak/>
        <w:t>Next steps</w:t>
      </w:r>
    </w:p>
    <w:p w:rsidR="005226F4" w:rsidRDefault="005226F4" w:rsidP="008A299B">
      <w:pPr>
        <w:pStyle w:val="Heading3"/>
      </w:pPr>
      <w:r>
        <w:t>Capital cost models for multi-period</w:t>
      </w:r>
    </w:p>
    <w:p w:rsidR="008A299B" w:rsidRDefault="008A299B" w:rsidP="008A299B">
      <w:pPr>
        <w:pStyle w:val="Heading3"/>
      </w:pPr>
      <w:r>
        <w:t>Transmission model including flows</w:t>
      </w:r>
    </w:p>
    <w:p w:rsidR="00A26CAB" w:rsidRDefault="009236C2" w:rsidP="00A26CAB">
      <w:pPr>
        <w:pStyle w:val="Heading3"/>
      </w:pPr>
      <w:r>
        <w:t>Multi-site dispatchable models</w:t>
      </w:r>
    </w:p>
    <w:p w:rsidR="005226F4" w:rsidRPr="005226F4" w:rsidRDefault="005226F4" w:rsidP="005226F4">
      <w:pPr>
        <w:pStyle w:val="Heading3"/>
      </w:pPr>
      <w:r>
        <w:t>Economic models</w:t>
      </w:r>
    </w:p>
    <w:p w:rsidR="008A299B" w:rsidRPr="008A299B" w:rsidRDefault="008A299B" w:rsidP="008A299B">
      <w:pPr>
        <w:pStyle w:val="Heading2"/>
      </w:pPr>
      <w:r>
        <w:t>Ideas for improvement</w:t>
      </w:r>
    </w:p>
    <w:p w:rsidR="00A711FA" w:rsidRDefault="00A711FA" w:rsidP="008A299B">
      <w:pPr>
        <w:pStyle w:val="Heading3"/>
      </w:pPr>
      <w:r>
        <w:t>Genetic algorithm optimisations</w:t>
      </w:r>
    </w:p>
    <w:p w:rsidR="00E50D74" w:rsidRPr="00E50D74" w:rsidRDefault="00E50D74" w:rsidP="008A299B">
      <w:pPr>
        <w:pStyle w:val="Heading3"/>
      </w:pPr>
      <w:r>
        <w:t>Orientation of timeseries data arrays</w:t>
      </w:r>
    </w:p>
    <w:p w:rsidR="009D03BC" w:rsidRDefault="00E703B9" w:rsidP="009D03BC">
      <w:pPr>
        <w:pStyle w:val="Heading1"/>
      </w:pPr>
      <w:r>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python -m cProfile runmureil.py -f sample_config.txt &gt; sample_config.prof</w:t>
      </w:r>
    </w:p>
    <w:p w:rsidR="00747E7B" w:rsidRDefault="00747E7B" w:rsidP="00747E7B">
      <w:r>
        <w:t xml:space="preserve">and browse sample_config.prof to find where the time goes. </w:t>
      </w:r>
      <w:r w:rsidR="00F63566">
        <w:t xml:space="preserve">The ‘cumtime’ column shows the total time spent inside this function and any functions it called. The ‘tottime’ column shows the time spent executing code actually in that function. Using </w:t>
      </w:r>
      <w:r>
        <w:t xml:space="preserve">sample_config.txt </w:t>
      </w:r>
      <w:r w:rsidR="00F63566">
        <w:t xml:space="preserve">as above </w:t>
      </w:r>
      <w:r>
        <w:t>you can see that</w:t>
      </w:r>
      <w:r w:rsidR="00F63566">
        <w:t xml:space="preserve"> </w:t>
      </w:r>
      <w:r>
        <w:t>'tot</w:t>
      </w:r>
      <w:r w:rsidR="00F63566">
        <w:t>t</w:t>
      </w:r>
      <w:r>
        <w:t>ime' for the calculate function is most of the run time of the sim. This</w:t>
      </w:r>
      <w:r w:rsidR="00F63566">
        <w:t xml:space="preserve"> </w:t>
      </w:r>
      <w:r>
        <w:t>is not surprising as this is the only calculate function that has a looped</w:t>
      </w:r>
      <w:r w:rsidR="00F63566">
        <w:t xml:space="preserve"> </w:t>
      </w:r>
      <w:r>
        <w:t>calculation in it - the others are all matrix maths which numpy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r>
        <w:t>Numpy arrays vs Python lists</w:t>
      </w:r>
    </w:p>
    <w:p w:rsidR="00E703B9" w:rsidRDefault="00E703B9" w:rsidP="00E703B9">
      <w:pPr>
        <w:pStyle w:val="Heading2"/>
      </w:pPr>
      <w:r>
        <w:t>SVN</w:t>
      </w:r>
    </w:p>
    <w:p w:rsidR="00747E7B" w:rsidRDefault="00747E7B" w:rsidP="00747E7B">
      <w:r>
        <w:t xml:space="preserve">SVN is the version control system on google code. </w:t>
      </w:r>
    </w:p>
    <w:p w:rsidR="00747E7B" w:rsidRDefault="00747E7B" w:rsidP="00747E7B">
      <w:r>
        <w:t>A list of useful commands here: http://www.thegeekstuff.com/2011/04/svn-command-examples/</w:t>
      </w:r>
    </w:p>
    <w:p w:rsidR="00747E7B" w:rsidRDefault="00747E7B" w:rsidP="00747E7B">
      <w:r>
        <w:t>The checkout instructions are on google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lastRenderedPageBreak/>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‘numpy’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Numpy tutorial at </w:t>
      </w:r>
      <w:hyperlink r:id="rId10" w:history="1">
        <w:r w:rsidRPr="00762C63">
          <w:rPr>
            <w:rStyle w:val="Hyperlink"/>
          </w:rPr>
          <w:t>http://www.scipy.org/Tentative_NumPy_Tutorial</w:t>
        </w:r>
      </w:hyperlink>
      <w:r>
        <w:t xml:space="preserve"> is essential reading to understand and use Numpy.</w:t>
      </w:r>
    </w:p>
    <w:p w:rsidR="009F0D88" w:rsidRDefault="009F0D88" w:rsidP="009F0D88">
      <w:r>
        <w:t>Also have a look at Scipy if you want to find library functions for a wide range of applications</w:t>
      </w:r>
      <w:r w:rsidR="001338E0">
        <w:t>, in particular see</w:t>
      </w:r>
      <w:r>
        <w:t xml:space="preserve"> scipy.optimise </w:t>
      </w:r>
      <w:hyperlink r:id="rId11" w:history="1">
        <w:r w:rsidRPr="00762C63">
          <w:rPr>
            <w:rStyle w:val="Hyperlink"/>
          </w:rPr>
          <w:t>http://docs.scipy.org/doc/scipy/reference/optimize.html</w:t>
        </w:r>
      </w:hyperlink>
      <w:r w:rsidR="001338E0">
        <w:t>.</w:t>
      </w:r>
    </w:p>
    <w:p w:rsidR="008A299B" w:rsidRDefault="008A299B" w:rsidP="008A299B">
      <w:pPr>
        <w:pStyle w:val="Heading1"/>
      </w:pPr>
      <w:r>
        <w:t>Old stuff</w:t>
      </w:r>
    </w:p>
    <w:p w:rsidR="008A299B" w:rsidRPr="008A299B" w:rsidRDefault="008A299B" w:rsidP="008A299B">
      <w:r>
        <w:t>This is a good place to copy stuff from the document that’s not current, but might 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8A5F73"/>
    <w:multiLevelType w:val="multilevel"/>
    <w:tmpl w:val="65B64C90"/>
    <w:numStyleLink w:val="Headings"/>
  </w:abstractNum>
  <w:abstractNum w:abstractNumId="5">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3115E"/>
    <w:rsid w:val="00033F00"/>
    <w:rsid w:val="00035600"/>
    <w:rsid w:val="0003570E"/>
    <w:rsid w:val="00047CE1"/>
    <w:rsid w:val="00055A85"/>
    <w:rsid w:val="00072C9C"/>
    <w:rsid w:val="0008438B"/>
    <w:rsid w:val="000A7C95"/>
    <w:rsid w:val="000D7D71"/>
    <w:rsid w:val="000E016C"/>
    <w:rsid w:val="00115639"/>
    <w:rsid w:val="00133435"/>
    <w:rsid w:val="001338E0"/>
    <w:rsid w:val="001501DC"/>
    <w:rsid w:val="00186CE3"/>
    <w:rsid w:val="001A48F3"/>
    <w:rsid w:val="001C56BA"/>
    <w:rsid w:val="001D3B42"/>
    <w:rsid w:val="001F2196"/>
    <w:rsid w:val="001F6451"/>
    <w:rsid w:val="00205743"/>
    <w:rsid w:val="00207EDA"/>
    <w:rsid w:val="00224E78"/>
    <w:rsid w:val="00255D32"/>
    <w:rsid w:val="002938A4"/>
    <w:rsid w:val="002A3BCE"/>
    <w:rsid w:val="002A6348"/>
    <w:rsid w:val="002B33B9"/>
    <w:rsid w:val="002B4446"/>
    <w:rsid w:val="0031031D"/>
    <w:rsid w:val="003166DF"/>
    <w:rsid w:val="003377FD"/>
    <w:rsid w:val="003636CF"/>
    <w:rsid w:val="00370453"/>
    <w:rsid w:val="003853EE"/>
    <w:rsid w:val="003A14A1"/>
    <w:rsid w:val="003A7673"/>
    <w:rsid w:val="003D0B23"/>
    <w:rsid w:val="00415680"/>
    <w:rsid w:val="004248FC"/>
    <w:rsid w:val="00440033"/>
    <w:rsid w:val="00470893"/>
    <w:rsid w:val="00475EB2"/>
    <w:rsid w:val="004879FB"/>
    <w:rsid w:val="00490343"/>
    <w:rsid w:val="00491BD7"/>
    <w:rsid w:val="004A0DB0"/>
    <w:rsid w:val="004D2A4A"/>
    <w:rsid w:val="004D669D"/>
    <w:rsid w:val="004D6BF0"/>
    <w:rsid w:val="004D74E3"/>
    <w:rsid w:val="005226F4"/>
    <w:rsid w:val="0053206B"/>
    <w:rsid w:val="00533001"/>
    <w:rsid w:val="00542274"/>
    <w:rsid w:val="005B0905"/>
    <w:rsid w:val="005B1D9D"/>
    <w:rsid w:val="005D14AB"/>
    <w:rsid w:val="005D2ECC"/>
    <w:rsid w:val="006444BA"/>
    <w:rsid w:val="00661921"/>
    <w:rsid w:val="006822B2"/>
    <w:rsid w:val="006843AB"/>
    <w:rsid w:val="006B7BFD"/>
    <w:rsid w:val="006C7A9F"/>
    <w:rsid w:val="006D01B5"/>
    <w:rsid w:val="006E1D2F"/>
    <w:rsid w:val="006E7DDF"/>
    <w:rsid w:val="00706FA5"/>
    <w:rsid w:val="007423ED"/>
    <w:rsid w:val="00747E7B"/>
    <w:rsid w:val="007560E8"/>
    <w:rsid w:val="00775C1A"/>
    <w:rsid w:val="007952EB"/>
    <w:rsid w:val="007A7323"/>
    <w:rsid w:val="00801C19"/>
    <w:rsid w:val="008043BD"/>
    <w:rsid w:val="008074C5"/>
    <w:rsid w:val="0082099D"/>
    <w:rsid w:val="00834462"/>
    <w:rsid w:val="00836377"/>
    <w:rsid w:val="00841199"/>
    <w:rsid w:val="00866D6F"/>
    <w:rsid w:val="00893C00"/>
    <w:rsid w:val="008A1BD4"/>
    <w:rsid w:val="008A299B"/>
    <w:rsid w:val="008D11BB"/>
    <w:rsid w:val="008D6EED"/>
    <w:rsid w:val="00905C35"/>
    <w:rsid w:val="009067F7"/>
    <w:rsid w:val="009236C2"/>
    <w:rsid w:val="0092437B"/>
    <w:rsid w:val="0093651B"/>
    <w:rsid w:val="00947C33"/>
    <w:rsid w:val="00963671"/>
    <w:rsid w:val="0096688A"/>
    <w:rsid w:val="00980402"/>
    <w:rsid w:val="00983222"/>
    <w:rsid w:val="00992E37"/>
    <w:rsid w:val="009A0521"/>
    <w:rsid w:val="009A0E66"/>
    <w:rsid w:val="009B6D3D"/>
    <w:rsid w:val="009D03BC"/>
    <w:rsid w:val="009D3209"/>
    <w:rsid w:val="009F0D88"/>
    <w:rsid w:val="009F133C"/>
    <w:rsid w:val="00A24AD3"/>
    <w:rsid w:val="00A26CAB"/>
    <w:rsid w:val="00A36D8E"/>
    <w:rsid w:val="00A54FFE"/>
    <w:rsid w:val="00A711FA"/>
    <w:rsid w:val="00A764A9"/>
    <w:rsid w:val="00A81FBB"/>
    <w:rsid w:val="00A908E2"/>
    <w:rsid w:val="00AA347D"/>
    <w:rsid w:val="00AA3E65"/>
    <w:rsid w:val="00AA4C47"/>
    <w:rsid w:val="00AB4335"/>
    <w:rsid w:val="00AC3365"/>
    <w:rsid w:val="00AF0C32"/>
    <w:rsid w:val="00AF14F8"/>
    <w:rsid w:val="00B10E67"/>
    <w:rsid w:val="00B31616"/>
    <w:rsid w:val="00B32827"/>
    <w:rsid w:val="00B32D9A"/>
    <w:rsid w:val="00B530DC"/>
    <w:rsid w:val="00B8026E"/>
    <w:rsid w:val="00B9110F"/>
    <w:rsid w:val="00BE277C"/>
    <w:rsid w:val="00BF4A84"/>
    <w:rsid w:val="00C00466"/>
    <w:rsid w:val="00C12CBD"/>
    <w:rsid w:val="00C137D0"/>
    <w:rsid w:val="00C31CC4"/>
    <w:rsid w:val="00C357D7"/>
    <w:rsid w:val="00C71BE9"/>
    <w:rsid w:val="00C74819"/>
    <w:rsid w:val="00C854DD"/>
    <w:rsid w:val="00CA3AE1"/>
    <w:rsid w:val="00CE0E64"/>
    <w:rsid w:val="00D207FD"/>
    <w:rsid w:val="00D3092F"/>
    <w:rsid w:val="00D56A52"/>
    <w:rsid w:val="00D647EA"/>
    <w:rsid w:val="00D7774D"/>
    <w:rsid w:val="00D92F28"/>
    <w:rsid w:val="00D9668D"/>
    <w:rsid w:val="00D96C0D"/>
    <w:rsid w:val="00DF3C7B"/>
    <w:rsid w:val="00E02BC6"/>
    <w:rsid w:val="00E23593"/>
    <w:rsid w:val="00E238D7"/>
    <w:rsid w:val="00E409BE"/>
    <w:rsid w:val="00E4455C"/>
    <w:rsid w:val="00E50D74"/>
    <w:rsid w:val="00E57E93"/>
    <w:rsid w:val="00E703B9"/>
    <w:rsid w:val="00E948C4"/>
    <w:rsid w:val="00E9751D"/>
    <w:rsid w:val="00E9757B"/>
    <w:rsid w:val="00EE1F76"/>
    <w:rsid w:val="00F06BDD"/>
    <w:rsid w:val="00F51C2C"/>
    <w:rsid w:val="00F51D89"/>
    <w:rsid w:val="00F63566"/>
    <w:rsid w:val="00F827DD"/>
    <w:rsid w:val="00FA62F1"/>
    <w:rsid w:val="00FE5EFE"/>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9D03BC"/>
    <w:rPr>
      <w:rFonts w:ascii="Courier New" w:hAnsi="Courier New"/>
      <w:sz w:val="20"/>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9D03BC"/>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9D03BC"/>
    <w:rPr>
      <w:rFonts w:ascii="Courier New" w:hAnsi="Courier New"/>
      <w:sz w:val="20"/>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9D03BC"/>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F78DD7CE-1E76-4EE2-A5CE-0E198BC6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6</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71</cp:revision>
  <dcterms:created xsi:type="dcterms:W3CDTF">2012-04-22T22:43:00Z</dcterms:created>
  <dcterms:modified xsi:type="dcterms:W3CDTF">2013-03-01T03:42:00Z</dcterms:modified>
</cp:coreProperties>
</file>