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Dargaville, Robert Huva, 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9311E6" w:rsidRDefault="009311E6" w:rsidP="00F36ABB">
      <w:r>
        <w:t xml:space="preserve">Two types of master model have been implemented. The first version was the ‘SimpleMureilMaster’, which was suited to single-period simulations. Generators of type SinglePassGenerator are compatible with SimpleMureilMaster. </w:t>
      </w:r>
    </w:p>
    <w:p w:rsidR="00203F57" w:rsidRDefault="00203F57" w:rsidP="00F36ABB">
      <w:r>
        <w:t>The TxMultiMasterSimple 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0" w:name="_Ref350594392"/>
      <w:r>
        <w:lastRenderedPageBreak/>
        <w:t>Data</w:t>
      </w:r>
      <w:bookmarkEnd w:id="0"/>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D3359F" w:rsidRDefault="00D3359F" w:rsidP="009311E6">
      <w:pPr>
        <w:pStyle w:val="Heading3"/>
      </w:pPr>
      <w:r>
        <w:t>Sequential dispatch model</w:t>
      </w:r>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1914EC" w:rsidRPr="00D3359F" w:rsidRDefault="001914EC" w:rsidP="00D3359F">
      <w:r>
        <w:t xml:space="preserve">See section </w:t>
      </w:r>
      <w:r>
        <w:fldChar w:fldCharType="begin"/>
      </w:r>
      <w:r>
        <w:instrText xml:space="preserve"> REF _Ref350595347 \r \h </w:instrText>
      </w:r>
      <w:r>
        <w:fldChar w:fldCharType="separate"/>
      </w:r>
      <w:r>
        <w:t>5.2.6</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7C09F6">
        <w:t>5.1.4</w:t>
      </w:r>
      <w:r w:rsidR="007C09F6">
        <w:fldChar w:fldCharType="end"/>
      </w:r>
      <w:r w:rsidR="007C09F6">
        <w:t xml:space="preserve"> for how this could be done more neatly in the TxMultiMaster than by looking for ‘demand’ in dispatch_order</w:t>
      </w:r>
      <w:r>
        <w:t>.</w:t>
      </w:r>
    </w:p>
    <w:p w:rsidR="00EE1A62" w:rsidRDefault="00EE1A62" w:rsidP="00EE1A62">
      <w:pPr>
        <w:pStyle w:val="Heading3"/>
      </w:pPr>
      <w:bookmarkStart w:id="1" w:name="_Ref350601328"/>
      <w:r>
        <w:t>Optimisable param mapping</w:t>
      </w:r>
      <w:bookmarkEnd w:id="1"/>
    </w:p>
    <w:p w:rsidR="00EE1A62" w:rsidRPr="00D3359F" w:rsidRDefault="00EE1A62" w:rsidP="00EE1A62">
      <w:r>
        <w:t>The optimisation algorithm works on a list of param values. These are built up from the requirements of each of the generators, and for the TxMulti master the set is repeated for each time period to build up a total list to be 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D3359F">
        <w:t>5.2.5</w:t>
      </w:r>
      <w:r w:rsidR="00D3359F">
        <w:fldChar w:fldCharType="end"/>
      </w:r>
      <w:r w:rsidR="00D3359F">
        <w:t xml:space="preserve"> about this.</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EE1A62">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lastRenderedPageBreak/>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1914EC" w:rsidRPr="001914EC" w:rsidRDefault="001914EC" w:rsidP="001914EC">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 xml:space="preserve">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w:t>
      </w:r>
      <w:r>
        <w:lastRenderedPageBreak/>
        <w:t>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2" w:name="_Ref350594702"/>
      <w:r>
        <w:t>Parameter requirements and checking</w:t>
      </w:r>
      <w:bookmarkEnd w:id="2"/>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lastRenderedPageBreak/>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lastRenderedPageBreak/>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P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lastRenderedPageBreak/>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lastRenderedPageBreak/>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155DC9"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These </w:t>
      </w:r>
      <w:r w:rsidR="00C55BFE">
        <w:t xml:space="preserve">operation of these </w:t>
      </w:r>
      <w:r>
        <w:t>classes are best understood by reading the code (with comments) in the file.</w:t>
      </w:r>
    </w:p>
    <w:p w:rsidR="004951E0" w:rsidRDefault="004951E0" w:rsidP="00155DC9">
      <w:r>
        <w:t xml:space="preserve">ConfigurableBase implements the </w:t>
      </w:r>
      <w:r w:rsidR="00DC12F5">
        <w:t>method</w:t>
      </w:r>
      <w:r>
        <w:t xml:space="preserve"> ‘set_config’ as a </w:t>
      </w:r>
      <w:r w:rsidR="00DC12F5">
        <w:t>series of calls to other methods</w:t>
      </w:r>
      <w:r>
        <w:t xml:space="preserve">. Any of these </w:t>
      </w:r>
      <w:r w:rsidR="00DC12F5">
        <w:t>methods</w:t>
      </w:r>
      <w:r>
        <w:t xml:space="preserve"> may be overridden by the model. 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w:t>
      </w:r>
      <w:r>
        <w:lastRenderedPageBreak/>
        <w:t xml:space="preserve">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t>2.1.4</w:t>
      </w:r>
      <w:r>
        <w:fldChar w:fldCharType="end"/>
      </w:r>
      <w:r w:rsidR="001F0166">
        <w:t xml:space="preserve">. Note that the timeseries data are expected to have the timeseries as the first index and site as the second (in Python array-indexing language), not the other way round. See 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1F0166">
        <w:t>5.3.2</w:t>
      </w:r>
      <w:r w:rsidR="001F0166">
        <w:fldChar w:fldCharType="end"/>
      </w:r>
      <w:r w:rsidR="001F0166">
        <w:t xml:space="preserve"> discusses whether this is the best orientation for fast running.</w:t>
      </w:r>
    </w:p>
    <w:p w:rsidR="00A764A9" w:rsidRDefault="00A764A9" w:rsidP="00A764A9">
      <w:pPr>
        <w:pStyle w:val="Heading3"/>
      </w:pPr>
      <w:r>
        <w:t>NetCDF reader</w:t>
      </w:r>
    </w:p>
    <w:p w:rsidR="00B81A25" w:rsidRDefault="00B81A25" w:rsidP="00B81A25">
      <w:r>
        <w:t>The data model data.ncdata.Data provides a generic NetCDF reader. The get_config_spec docstring explains the configuration parameters. In summary:</w:t>
      </w:r>
    </w:p>
    <w:p w:rsidR="00B81A25" w:rsidRDefault="00B81A25" w:rsidP="00B81A25">
      <w:pPr>
        <w:pStyle w:val="ListParagraph"/>
        <w:numPr>
          <w:ilvl w:val="0"/>
          <w:numId w:val="11"/>
        </w:numPr>
      </w:pPr>
      <w:r>
        <w:t>User configures a list of desired data series names, in the categories of 'ts_float_list', 'ts_int_list', 'other_float_list' and 'other_int_list'.</w:t>
      </w:r>
    </w:p>
    <w:p w:rsidR="00B81A25" w:rsidRDefault="00B81A25" w:rsidP="00B81A25">
      <w:pPr>
        <w:pStyle w:val="ListParagraph"/>
        <w:numPr>
          <w:ilvl w:val="0"/>
          <w:numId w:val="11"/>
        </w:numPr>
      </w:pPr>
      <w:r>
        <w:t>For each 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p>
    <w:p w:rsidR="00B81A25" w:rsidRDefault="00B81A25" w:rsidP="00B81A25">
      <w:pPr>
        <w:pStyle w:val="ListParagraph"/>
        <w:numPr>
          <w:ilvl w:val="0"/>
          <w:numId w:val="11"/>
        </w:numPr>
      </w:pPr>
      <w:r>
        <w:t xml:space="preserve">The data series in the ts_float_list are checked for NaNs (note that an int32 cannot be NaN), and any timepoints found with an NaN are dropped out across all of the timeseries data sets. </w:t>
      </w:r>
    </w:p>
    <w:p w:rsidR="00B81A25" w:rsidRP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A764A9" w:rsidRDefault="00A764A9" w:rsidP="00A764A9">
      <w:pPr>
        <w:pStyle w:val="Heading3"/>
      </w:pPr>
      <w:r>
        <w:t>Explicit data specification</w:t>
      </w:r>
    </w:p>
    <w:p w:rsidR="00B81A25" w:rsidRP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A711FA" w:rsidRDefault="00B81A25" w:rsidP="00A711FA">
      <w:pPr>
        <w:pStyle w:val="Heading2"/>
      </w:pPr>
      <w:r>
        <w:lastRenderedPageBreak/>
        <w:t>Generator models</w:t>
      </w:r>
    </w:p>
    <w:p w:rsidR="005D2628" w:rsidRDefault="005D2628" w:rsidP="00AE64C7">
      <w:pPr>
        <w:pStyle w:val="Heading3"/>
      </w:pPr>
      <w:r>
        <w:t>State variable / state handle in TxMulti framework</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t>2.1.6</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Pr="005D2628" w:rsidRDefault="00A207E5" w:rsidP="005D2628">
      <w:r>
        <w:t>Generators may implement configuration parameters (typically start_min_param and start_max_param) to limit the initialisation values of the genes on the first iteration. When constructing the simulatinon the master accumulates these from each generator and passes the full list to the algorithm.</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5D2628" w:rsidRDefault="001F0166" w:rsidP="001F0166">
      <w:r>
        <w:t>TxMultiGeneratorBase is extensively documented in-file. It lists the methods that a model needs to implement or inherit to work in the TxMul</w:t>
      </w:r>
      <w:r w:rsidR="00BD765F">
        <w:t>ti system, but does not implement much actual functionality.</w:t>
      </w:r>
      <w:bookmarkStart w:id="3" w:name="_GoBack"/>
      <w:bookmarkEnd w:id="3"/>
    </w:p>
    <w:p w:rsidR="00BC1C85" w:rsidRDefault="00BC1C85" w:rsidP="00BC1C85">
      <w:pPr>
        <w:pStyle w:val="Heading4"/>
      </w:pPr>
      <w:r>
        <w:lastRenderedPageBreak/>
        <w:t>TxMultiGeneratorMultiSite</w:t>
      </w:r>
    </w:p>
    <w:p w:rsidR="00BC1C85" w:rsidRPr="00BC1C85" w:rsidRDefault="00BC1C85" w:rsidP="00BC1C85">
      <w:pPr>
        <w:pStyle w:val="Heading4"/>
      </w:pPr>
      <w:r>
        <w:t>TxMultiVariableGeneratorBase</w:t>
      </w:r>
    </w:p>
    <w:p w:rsidR="00BC1C85" w:rsidRDefault="00BC1C85" w:rsidP="005E711C">
      <w:pPr>
        <w:pStyle w:val="Heading3"/>
      </w:pPr>
      <w:r>
        <w:t>Demand models</w:t>
      </w:r>
    </w:p>
    <w:p w:rsidR="00BC1C85" w:rsidRPr="00BC1C85" w:rsidRDefault="00BC1C85" w:rsidP="00BC1C85">
      <w:pPr>
        <w:pStyle w:val="Heading3"/>
      </w:pPr>
      <w:r>
        <w:t>Missed-supply models</w:t>
      </w:r>
    </w:p>
    <w:p w:rsidR="005E711C" w:rsidRDefault="005E711C" w:rsidP="005E711C">
      <w:pPr>
        <w:pStyle w:val="Heading3"/>
      </w:pPr>
      <w:r>
        <w:t>Important considerations when implementing a generator</w:t>
      </w:r>
    </w:p>
    <w:p w:rsidR="001F0166" w:rsidRDefault="001F0166" w:rsidP="005E711C">
      <w:pPr>
        <w:pStyle w:val="Heading4"/>
      </w:pPr>
      <w:bookmarkStart w:id="4" w:name="_Ref350590605"/>
      <w:r>
        <w:t>Choosing the params to request</w:t>
      </w:r>
    </w:p>
    <w:p w:rsidR="005E711C" w:rsidRDefault="005E711C" w:rsidP="005E711C">
      <w:pPr>
        <w:pStyle w:val="Heading4"/>
      </w:pPr>
      <w:r>
        <w:t>Handling of negative param values</w:t>
      </w:r>
      <w:bookmarkEnd w:id="4"/>
    </w:p>
    <w:p w:rsidR="004957F5" w:rsidRDefault="004957F5" w:rsidP="00EC1415">
      <w:r>
        <w:t xml:space="preserve">Section </w:t>
      </w:r>
      <w:r>
        <w:fldChar w:fldCharType="begin"/>
      </w:r>
      <w:r>
        <w:instrText xml:space="preserve"> REF _Ref350590766 \r \h </w:instrText>
      </w:r>
      <w:r>
        <w:fldChar w:fldCharType="separate"/>
      </w:r>
      <w:r>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Pr="00F92E76" w:rsidRDefault="00F92E76" w:rsidP="00F92E76">
      <w:pPr>
        <w:pStyle w:val="Heading4"/>
      </w:pPr>
      <w:r>
        <w:t xml:space="preserve">Handling of </w:t>
      </w:r>
      <w:r w:rsidR="0005336D">
        <w:t>‘</w:t>
      </w:r>
      <w:r>
        <w:t>ts_demand</w:t>
      </w:r>
      <w:r w:rsidR="0005336D">
        <w:t>’</w:t>
      </w:r>
      <w:r>
        <w:t xml:space="preserve"> timeseries</w:t>
      </w:r>
    </w:p>
    <w:p w:rsidR="00BC1C85" w:rsidRDefault="00BC1C85" w:rsidP="00A764A9">
      <w:pPr>
        <w:pStyle w:val="Heading3"/>
      </w:pPr>
      <w:r>
        <w:t>Summary of generator models implemented</w:t>
      </w:r>
    </w:p>
    <w:p w:rsidR="006243AD" w:rsidRDefault="006243AD" w:rsidP="00A711FA">
      <w:pPr>
        <w:pStyle w:val="Heading2"/>
      </w:pPr>
      <w:r>
        <w:t>Transmission models</w:t>
      </w:r>
    </w:p>
    <w:p w:rsidR="00490343" w:rsidRPr="00490343" w:rsidRDefault="00490343" w:rsidP="00BC1C85">
      <w:pPr>
        <w:pStyle w:val="Heading2"/>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lastRenderedPageBreak/>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lastRenderedPageBreak/>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r>
        <w:t>Simple transmission model multi-period</w:t>
      </w:r>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5" w:name="_Ref350596300"/>
      <w:r>
        <w:t xml:space="preserve">Using the get_details </w:t>
      </w:r>
      <w:r w:rsidR="00DC12F5">
        <w:t>method</w:t>
      </w:r>
      <w:r>
        <w:t xml:space="preserve"> to identify demand and miss</w:t>
      </w:r>
      <w:r w:rsidR="009C40D8">
        <w:t>ed_supply models in master</w:t>
      </w:r>
      <w:bookmarkEnd w:id="5"/>
    </w:p>
    <w:p w:rsidR="00AE31AD" w:rsidRPr="00AE31AD" w:rsidRDefault="00AE31AD" w:rsidP="00AE31AD">
      <w:r>
        <w:t xml:space="preserve">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w:t>
      </w:r>
      <w:r>
        <w:lastRenderedPageBreak/>
        <w:t>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 xml:space="preserve">The test test_regression/rhuva_test1 fails on Roger’s machine with the following message. It runs fine on Marcelle’s PC, and was set up from a simulation that Robert ran. The message isn’t very informative. It just says that the script </w:t>
      </w:r>
      <w:r>
        <w:lastRenderedPageBreak/>
        <w:t>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w:t>
      </w:r>
      <w:r w:rsidR="00BB699C">
        <w:lastRenderedPageBreak/>
        <w:t>capacity, so costs of any desired complexity can be implemented, and probably needs to be, to make a proper estimate of the costs.</w:t>
      </w:r>
    </w:p>
    <w:p w:rsidR="00044123" w:rsidRDefault="00044123" w:rsidP="00044123">
      <w:pPr>
        <w:pStyle w:val="Heading3"/>
      </w:pPr>
      <w:bookmarkStart w:id="6" w:name="_Ref350593735"/>
      <w:r>
        <w:t>Transmission model including flows</w:t>
      </w:r>
      <w:bookmarkEnd w:id="6"/>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Pr="00BB699C" w:rsidRDefault="00BB699C" w:rsidP="00BB699C">
      <w:r>
        <w:t xml:space="preserve">See the docstring for recalculate_time_period_full to see how to correctly call the methods in turn. </w:t>
      </w:r>
    </w:p>
    <w:p w:rsidR="00CD780F" w:rsidRDefault="00CD780F" w:rsidP="00CD780F">
      <w:pPr>
        <w:pStyle w:val="Heading3"/>
      </w:pPr>
      <w:bookmarkStart w:id="7" w:name="_Ref350595347"/>
      <w:r>
        <w:t>Different dispatch order in different periods</w:t>
      </w:r>
      <w:bookmarkEnd w:id="7"/>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w:t>
      </w:r>
      <w:r w:rsidR="00ED48D3">
        <w:lastRenderedPageBreak/>
        <w:t xml:space="preserve">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8" w:name="_Ref350590766"/>
      <w:r>
        <w:t>Selection of starting points and use of negatives</w:t>
      </w:r>
      <w:bookmarkEnd w:id="8"/>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9" w:name="_Ref350600555"/>
      <w:r>
        <w:t>Orientation of timeseries data arrays</w:t>
      </w:r>
      <w:bookmarkEnd w:id="9"/>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xml:space="preserve">,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w:t>
      </w:r>
      <w:r w:rsidR="00B258EB">
        <w:lastRenderedPageBreak/>
        <w:t>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P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 xml:space="preserve">ime' for the calculate function is most of the </w:t>
      </w:r>
      <w:r>
        <w:lastRenderedPageBreak/>
        <w:t>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lastRenderedPageBreak/>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Pr="00A40899" w:rsidRDefault="00A40899" w:rsidP="00A40899">
      <w:r>
        <w:t>This also works if you are within square or curly brackets (i.e. already within a list or dict). If you want to split a line but aren’t within brackets, you can add a set of extra round brackets around any expression.</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68A5F73"/>
    <w:multiLevelType w:val="multilevel"/>
    <w:tmpl w:val="65B64C90"/>
    <w:numStyleLink w:val="Headings"/>
  </w:abstractNum>
  <w:abstractNum w:abstractNumId="7">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6"/>
  </w:num>
  <w:num w:numId="9">
    <w:abstractNumId w:val="10"/>
  </w:num>
  <w:num w:numId="10">
    <w:abstractNumId w:val="7"/>
  </w:num>
  <w:num w:numId="11">
    <w:abstractNumId w:val="4"/>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7C95"/>
    <w:rsid w:val="000B3FF2"/>
    <w:rsid w:val="000D7D71"/>
    <w:rsid w:val="000E016C"/>
    <w:rsid w:val="000E4EA5"/>
    <w:rsid w:val="001154C9"/>
    <w:rsid w:val="00115639"/>
    <w:rsid w:val="0011615B"/>
    <w:rsid w:val="001219E0"/>
    <w:rsid w:val="001256F7"/>
    <w:rsid w:val="00133435"/>
    <w:rsid w:val="001338E0"/>
    <w:rsid w:val="00135851"/>
    <w:rsid w:val="001501DC"/>
    <w:rsid w:val="00155DC9"/>
    <w:rsid w:val="0016699A"/>
    <w:rsid w:val="00186CE3"/>
    <w:rsid w:val="001914EC"/>
    <w:rsid w:val="001A48F3"/>
    <w:rsid w:val="001C56BA"/>
    <w:rsid w:val="001D3B42"/>
    <w:rsid w:val="001F0166"/>
    <w:rsid w:val="001F2196"/>
    <w:rsid w:val="001F6451"/>
    <w:rsid w:val="00203F57"/>
    <w:rsid w:val="00205743"/>
    <w:rsid w:val="00205F27"/>
    <w:rsid w:val="00207EDA"/>
    <w:rsid w:val="00224E78"/>
    <w:rsid w:val="00255D32"/>
    <w:rsid w:val="00274A7C"/>
    <w:rsid w:val="00277272"/>
    <w:rsid w:val="002938A4"/>
    <w:rsid w:val="002A3BCE"/>
    <w:rsid w:val="002A6348"/>
    <w:rsid w:val="002B33B9"/>
    <w:rsid w:val="002B4446"/>
    <w:rsid w:val="002D19CC"/>
    <w:rsid w:val="003043E5"/>
    <w:rsid w:val="0031031D"/>
    <w:rsid w:val="003166DF"/>
    <w:rsid w:val="00316B2D"/>
    <w:rsid w:val="003377FD"/>
    <w:rsid w:val="0035794D"/>
    <w:rsid w:val="003608B4"/>
    <w:rsid w:val="00360C80"/>
    <w:rsid w:val="003636CF"/>
    <w:rsid w:val="00370453"/>
    <w:rsid w:val="003853EE"/>
    <w:rsid w:val="003A14A1"/>
    <w:rsid w:val="003A7673"/>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B0905"/>
    <w:rsid w:val="005B1D9D"/>
    <w:rsid w:val="005D14AB"/>
    <w:rsid w:val="005D2628"/>
    <w:rsid w:val="005D2ECC"/>
    <w:rsid w:val="005D3248"/>
    <w:rsid w:val="005E711C"/>
    <w:rsid w:val="00610C30"/>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423ED"/>
    <w:rsid w:val="00747E7B"/>
    <w:rsid w:val="007560E8"/>
    <w:rsid w:val="007611EE"/>
    <w:rsid w:val="00775C1A"/>
    <w:rsid w:val="007952EB"/>
    <w:rsid w:val="007A5534"/>
    <w:rsid w:val="007A7323"/>
    <w:rsid w:val="007B02AD"/>
    <w:rsid w:val="007C09F6"/>
    <w:rsid w:val="007E3D40"/>
    <w:rsid w:val="007F750D"/>
    <w:rsid w:val="00801C19"/>
    <w:rsid w:val="008043BD"/>
    <w:rsid w:val="008074C5"/>
    <w:rsid w:val="0082099D"/>
    <w:rsid w:val="00834462"/>
    <w:rsid w:val="00836377"/>
    <w:rsid w:val="00841199"/>
    <w:rsid w:val="008519DC"/>
    <w:rsid w:val="0086687D"/>
    <w:rsid w:val="00866D6F"/>
    <w:rsid w:val="00867AC4"/>
    <w:rsid w:val="008717C4"/>
    <w:rsid w:val="00893C00"/>
    <w:rsid w:val="008A0593"/>
    <w:rsid w:val="008A1BD4"/>
    <w:rsid w:val="008A299B"/>
    <w:rsid w:val="008D11BB"/>
    <w:rsid w:val="008D4E3A"/>
    <w:rsid w:val="008D6EE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A0521"/>
    <w:rsid w:val="009A0E66"/>
    <w:rsid w:val="009B6D3D"/>
    <w:rsid w:val="009C00B5"/>
    <w:rsid w:val="009C40D8"/>
    <w:rsid w:val="009C419F"/>
    <w:rsid w:val="009D03BC"/>
    <w:rsid w:val="009D3209"/>
    <w:rsid w:val="009E104A"/>
    <w:rsid w:val="009F0D88"/>
    <w:rsid w:val="009F133C"/>
    <w:rsid w:val="00A207E5"/>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10E67"/>
    <w:rsid w:val="00B258EB"/>
    <w:rsid w:val="00B31616"/>
    <w:rsid w:val="00B32827"/>
    <w:rsid w:val="00B32D9A"/>
    <w:rsid w:val="00B424DF"/>
    <w:rsid w:val="00B530DC"/>
    <w:rsid w:val="00B67D6C"/>
    <w:rsid w:val="00B72DAA"/>
    <w:rsid w:val="00B8026E"/>
    <w:rsid w:val="00B81A25"/>
    <w:rsid w:val="00B9110F"/>
    <w:rsid w:val="00BB020D"/>
    <w:rsid w:val="00BB30DF"/>
    <w:rsid w:val="00BB699C"/>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207FD"/>
    <w:rsid w:val="00D3092F"/>
    <w:rsid w:val="00D3359F"/>
    <w:rsid w:val="00D4085B"/>
    <w:rsid w:val="00D56A52"/>
    <w:rsid w:val="00D600B0"/>
    <w:rsid w:val="00D647EA"/>
    <w:rsid w:val="00D7774D"/>
    <w:rsid w:val="00D92F28"/>
    <w:rsid w:val="00D9668D"/>
    <w:rsid w:val="00D96C0D"/>
    <w:rsid w:val="00DC12F5"/>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A62"/>
    <w:rsid w:val="00EE1F76"/>
    <w:rsid w:val="00EE5D83"/>
    <w:rsid w:val="00F06BDD"/>
    <w:rsid w:val="00F36ABB"/>
    <w:rsid w:val="00F51C2C"/>
    <w:rsid w:val="00F51D89"/>
    <w:rsid w:val="00F63566"/>
    <w:rsid w:val="00F827DD"/>
    <w:rsid w:val="00F92E76"/>
    <w:rsid w:val="00FA1EFF"/>
    <w:rsid w:val="00FA62F1"/>
    <w:rsid w:val="00FB21A9"/>
    <w:rsid w:val="00FB7466"/>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1A601146-DDB3-45D7-8CAB-863AE714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21</Pages>
  <Words>9953</Words>
  <Characters>56735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146</cp:revision>
  <cp:lastPrinted>2013-03-08T11:42:00Z</cp:lastPrinted>
  <dcterms:created xsi:type="dcterms:W3CDTF">2012-04-22T22:43:00Z</dcterms:created>
  <dcterms:modified xsi:type="dcterms:W3CDTF">2013-03-09T03:17:00Z</dcterms:modified>
</cp:coreProperties>
</file>