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 xml:space="preserve">all from the University of Melbourne – Roger Dargaville, Robert Huva, Elly </w:t>
      </w:r>
      <w:r w:rsidR="00723D03">
        <w:t>Hutton, Steven Thomas, Peter Rayner.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lastRenderedPageBreak/>
        <w:t>Note that each section here, apart from the Global section, specifies a model.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r>
        <w:t>Parameter requirements and checking</w:t>
      </w:r>
    </w:p>
    <w:p w:rsidR="00205F27" w:rsidRDefault="00205F27" w:rsidP="00205F27">
      <w:r>
        <w:t>Each model specifies the parameters that it requires, along with the type it will convert them to, and a default if sensible, in its get_config_spec() function</w:t>
      </w:r>
      <w:r w:rsidR="00B67D6C">
        <w:t>, giving an object I’ll refer to as the ‘config_spec’</w:t>
      </w:r>
      <w:r>
        <w:t>. The config_spec functionality is discussed in more detail in the software structure section below.</w:t>
      </w:r>
    </w:p>
    <w:p w:rsidR="00205F27" w:rsidRDefault="00205F27" w:rsidP="00205F27">
      <w:r>
        <w:t>You can find out what parameters the model expects by looking at the documentation (a Python docstring) to its get_config_spec() function</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lastRenderedPageBreak/>
        <w:t>Some models, for example data/ncdata.py, will create their list of required parameters using some of the other parameter values you have specified. This will be detailed in the get_config_spec() help for that function.</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The module tools/globalconfig.py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lastRenderedPageBreak/>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w:t>
      </w:r>
      <w:r>
        <w:t>ou can have as many of these as you like. They will accumulate the configs</w:t>
      </w:r>
      <w:r>
        <w:t xml:space="preserve"> </w:t>
      </w:r>
      <w:r>
        <w:t>with later files taking precedence. See 'batch files' below for an example of this.</w:t>
      </w:r>
    </w:p>
    <w:p w:rsidR="00E76FC7" w:rsidRDefault="00E76FC7" w:rsidP="00E76FC7">
      <w:r w:rsidRPr="00E76FC7">
        <w:rPr>
          <w:b/>
        </w:rPr>
        <w:t>--iterations count</w:t>
      </w:r>
      <w:r>
        <w:t>: S</w:t>
      </w:r>
      <w:r>
        <w:t>et the number of iterations to do</w:t>
      </w:r>
      <w:r>
        <w:t xml:space="preserve"> – e.g.--iterations 2000</w:t>
      </w:r>
      <w:r w:rsidR="003608B4">
        <w:t>. Overrides ‘iterations’ in the Master section.</w:t>
      </w:r>
    </w:p>
    <w:p w:rsidR="00E76FC7" w:rsidRDefault="00E76FC7" w:rsidP="00E76FC7">
      <w:r w:rsidRPr="00E76FC7">
        <w:rPr>
          <w:b/>
        </w:rPr>
        <w:t>--seed seed</w:t>
      </w:r>
      <w:r>
        <w:t>:</w:t>
      </w:r>
      <w:r>
        <w:t xml:space="preserve"> </w:t>
      </w:r>
      <w:r>
        <w:t>Set the random seed – e.g. --seed 12345</w:t>
      </w:r>
      <w:r w:rsidR="003608B4">
        <w:t>. Overrides ‘seed’ in the algorithm section.</w:t>
      </w:r>
    </w:p>
    <w:p w:rsidR="00E76FC7" w:rsidRDefault="00E76FC7" w:rsidP="00E76FC7">
      <w:r w:rsidRPr="00E76FC7">
        <w:rPr>
          <w:b/>
        </w:rPr>
        <w:t>--pop_size size</w:t>
      </w:r>
      <w:r>
        <w:t>: T</w:t>
      </w:r>
      <w:r>
        <w: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rsidRPr="00CE0988">
        <w:rPr>
          <w:b/>
        </w:rPr>
        <w:t>:</w:t>
      </w:r>
      <w:r>
        <w:t xml:space="preserve"> </w:t>
      </w:r>
      <w:r>
        <w:t>F</w:t>
      </w:r>
      <w:r>
        <w:t xml:space="preserve">ilename for a log file. If not set, </w:t>
      </w:r>
      <w:r>
        <w:t>output will be to the screen (via stderr).</w:t>
      </w:r>
    </w:p>
    <w:p w:rsidR="00CE0988" w:rsidRPr="00E76FC7" w:rsidRDefault="00CE0988" w:rsidP="00CE0988">
      <w:r w:rsidRPr="00CE0988">
        <w:rPr>
          <w:b/>
        </w:rPr>
        <w:t>-d debuglevel</w:t>
      </w:r>
      <w:r w:rsidRPr="00CE0988">
        <w:rPr>
          <w:b/>
        </w:rPr>
        <w:t>:</w:t>
      </w:r>
      <w:r>
        <w:t xml:space="preserve"> </w:t>
      </w:r>
      <w:r>
        <w:t>O</w:t>
      </w:r>
      <w:r>
        <w:t>ne of DEBUG, INFO, WARNING, ERROR, CRITICAL. INFO is recommended</w:t>
      </w:r>
      <w:r>
        <w:t xml:space="preserve"> and is the default</w:t>
      </w:r>
      <w:r>
        <w:t>.</w:t>
      </w:r>
    </w:p>
    <w:p w:rsidR="00CE0988" w:rsidRDefault="00CE0988" w:rsidP="00CE0988">
      <w:r>
        <w:t xml:space="preserve"> </w:t>
      </w:r>
      <w:r w:rsidRPr="00CE0988">
        <w:rPr>
          <w:b/>
        </w:rPr>
        <w:t>--</w:t>
      </w:r>
      <w:r w:rsidRPr="00CE0988">
        <w:rPr>
          <w:b/>
        </w:rPr>
        <w:t>logmodulenames:</w:t>
      </w:r>
      <w:r>
        <w:t xml:space="preserve"> </w:t>
      </w:r>
      <w:r>
        <w:t>if present</w:t>
      </w:r>
      <w:r>
        <w:t>, log the name of the module that the log</w:t>
      </w:r>
      <w:r>
        <w:t xml:space="preserve">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w:t>
      </w:r>
      <w:r>
        <w:t xml:space="preserve"> a file, use</w:t>
      </w:r>
      <w:r>
        <w:t xml:space="preserve"> run</w:t>
      </w:r>
      <w:r>
        <w:t>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lastRenderedPageBreak/>
        <w:t>where test.pkl has been saved from a previous run (or you have created it),</w:t>
      </w:r>
      <w:r>
        <w:t xml:space="preserve"> </w:t>
      </w:r>
      <w:r>
        <w:t xml:space="preserve">so it contains a dict with 'best_gene' </w:t>
      </w:r>
      <w:r>
        <w:t xml:space="preserve">or ‘best_params’ </w:t>
      </w:r>
      <w:r>
        <w:t>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w:t>
      </w:r>
      <w:r>
        <w:t xml:space="preserve"> </w:t>
      </w:r>
      <w:r>
        <w:t xml:space="preserve">of extra config files for a series of values of a parameter, runs a simulation </w:t>
      </w:r>
      <w:r>
        <w:t xml:space="preserve">with </w:t>
      </w:r>
      <w:r>
        <w:t>these</w:t>
      </w:r>
      <w:r>
        <w:t xml:space="preserve"> </w:t>
      </w:r>
      <w:r>
        <w:t>files in addition to the base config file, then collects the results.</w:t>
      </w:r>
      <w:r w:rsidR="00A51552">
        <w:t xml:space="preserve"> This makes use of the existing </w:t>
      </w:r>
      <w:r w:rsidR="00A51552">
        <w:rPr>
          <w:b/>
        </w:rPr>
        <w:t>runmureil.py</w:t>
      </w:r>
      <w:r w:rsidR="00A51552">
        <w:t xml:space="preserve">. </w:t>
      </w:r>
      <w:bookmarkStart w:id="0" w:name="_GoBack"/>
      <w:bookmarkEnd w:id="0"/>
      <w:r>
        <w:t xml:space="preserve"> </w:t>
      </w:r>
    </w:p>
    <w:p w:rsidR="00497ED6" w:rsidRDefault="00497ED6" w:rsidP="00497ED6">
      <w:r>
        <w:t xml:space="preserve">Note that you can update </w:t>
      </w:r>
      <w:r w:rsidR="00A51552">
        <w:t xml:space="preserve">almost </w:t>
      </w:r>
      <w:r>
        <w:t>any of the</w:t>
      </w:r>
      <w:r>
        <w:t xml:space="preserve"> </w:t>
      </w:r>
      <w:r>
        <w:t>configuration script values in this way</w:t>
      </w:r>
      <w:r w:rsidR="00A51552">
        <w:t xml:space="preserve"> (see exception for Master below)</w:t>
      </w:r>
      <w:r>
        <w:t xml:space="preserve"> - including 'model'</w:t>
      </w:r>
      <w:r>
        <w:t>.</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497ED6" w:rsidRDefault="00497ED6" w:rsidP="00497ED6">
      <w:pPr>
        <w:pStyle w:val="Code"/>
      </w:pPr>
      <w:r>
        <w:t xml:space="preserve">&gt; </w:t>
      </w:r>
      <w:r>
        <w:t>python plotpickle.py pickle_filename</w:t>
      </w:r>
    </w:p>
    <w:p w:rsidR="00497ED6" w:rsidRDefault="00497ED6" w:rsidP="00497ED6">
      <w:r>
        <w:t>to draw plots of cumulative and separate power timeseries</w:t>
      </w:r>
      <w:r>
        <w:t>. (Note this has not been updated to work with multi-period simulations).</w:t>
      </w:r>
    </w:p>
    <w:p w:rsidR="00497ED6" w:rsidRDefault="00497ED6" w:rsidP="00497ED6">
      <w:pPr>
        <w:pStyle w:val="Code"/>
      </w:pPr>
    </w:p>
    <w:p w:rsidR="00497ED6" w:rsidRDefault="00497ED6" w:rsidP="00497ED6">
      <w:pPr>
        <w:pStyle w:val="Code"/>
      </w:pPr>
      <w:r>
        <w:t xml:space="preserve">&gt; </w:t>
      </w:r>
      <w:r>
        <w:t>python printpickle.py pickle_filename &gt; output_filename</w:t>
      </w:r>
    </w:p>
    <w:p w:rsidR="00497ED6" w:rsidRPr="00497ED6" w:rsidRDefault="00497ED6" w:rsidP="00497ED6">
      <w:r>
        <w:t>to dump the pickle file to a text file</w:t>
      </w:r>
      <w:r>
        <w:t>.</w:t>
      </w:r>
    </w:p>
    <w:p w:rsidR="00A711FA" w:rsidRDefault="00A711FA" w:rsidP="00A711FA">
      <w:pPr>
        <w:pStyle w:val="Heading1"/>
      </w:pPr>
      <w:r>
        <w:lastRenderedPageBreak/>
        <w:t>Software structure</w:t>
      </w:r>
    </w:p>
    <w:p w:rsidR="00A711FA" w:rsidRDefault="00A711FA" w:rsidP="00A711FA">
      <w:pPr>
        <w:pStyle w:val="Heading2"/>
      </w:pPr>
      <w:r>
        <w:t>Code documentation</w:t>
      </w:r>
    </w:p>
    <w:p w:rsidR="001F2196" w:rsidRPr="001F2196" w:rsidRDefault="001F2196" w:rsidP="001F2196">
      <w:pPr>
        <w:pStyle w:val="Heading3"/>
      </w:pPr>
      <w:r>
        <w:t>Python ‘help’ command</w:t>
      </w:r>
    </w:p>
    <w:p w:rsidR="00A54FFE" w:rsidRDefault="00A54FFE" w:rsidP="00E703B9">
      <w:pPr>
        <w:pStyle w:val="Heading2"/>
      </w:pPr>
      <w:r>
        <w:t>Python packages</w:t>
      </w:r>
    </w:p>
    <w:p w:rsidR="00E703B9" w:rsidRDefault="00A711FA" w:rsidP="00E703B9">
      <w:pPr>
        <w:pStyle w:val="Heading2"/>
      </w:pPr>
      <w:r>
        <w:t>Configuration system</w:t>
      </w:r>
      <w:r w:rsidR="008A299B">
        <w:t xml:space="preserve"> &amp; Model framework</w:t>
      </w:r>
    </w:p>
    <w:p w:rsidR="00D4085B" w:rsidRPr="00D4085B" w:rsidRDefault="00EA2767" w:rsidP="00D4085B">
      <w:pPr>
        <w:pStyle w:val="Heading3"/>
      </w:pPr>
      <w:r>
        <w:t>Overall framework concepts</w:t>
      </w:r>
    </w:p>
    <w:p w:rsidR="00E703B9" w:rsidRDefault="00E703B9" w:rsidP="00E703B9">
      <w:pPr>
        <w:pStyle w:val="Heading3"/>
      </w:pPr>
      <w:r>
        <w:t>config_spec</w:t>
      </w:r>
    </w:p>
    <w:p w:rsidR="00942DF2" w:rsidRPr="00942DF2" w:rsidRDefault="00942DF2" w:rsidP="00942DF2">
      <w:pPr>
        <w:pStyle w:val="Heading4"/>
      </w:pPr>
      <w:r>
        <w:t>Expanding config_spec at runtime</w:t>
      </w:r>
    </w:p>
    <w:p w:rsidR="0005560C" w:rsidRDefault="0005560C" w:rsidP="00A711FA">
      <w:pPr>
        <w:pStyle w:val="Heading2"/>
      </w:pPr>
      <w:r>
        <w:t>SimpleMureilMaster family</w:t>
      </w:r>
    </w:p>
    <w:p w:rsidR="0005560C" w:rsidRPr="0005560C" w:rsidRDefault="0005560C" w:rsidP="0005560C">
      <w:pPr>
        <w:pStyle w:val="Heading2"/>
      </w:pPr>
      <w:r>
        <w:t>TxMulti family</w:t>
      </w:r>
    </w:p>
    <w:p w:rsidR="005E711C" w:rsidRDefault="005E711C" w:rsidP="00A711FA">
      <w:pPr>
        <w:pStyle w:val="Heading2"/>
      </w:pPr>
      <w:r>
        <w:t>Genetic Algorithm</w:t>
      </w:r>
    </w:p>
    <w:p w:rsidR="00A764A9" w:rsidRDefault="00A764A9" w:rsidP="00A711FA">
      <w:pPr>
        <w:pStyle w:val="Heading2"/>
      </w:pPr>
      <w:r>
        <w:t>Data objects</w:t>
      </w:r>
    </w:p>
    <w:p w:rsidR="00A764A9" w:rsidRDefault="00A764A9" w:rsidP="00A764A9">
      <w:pPr>
        <w:pStyle w:val="Heading3"/>
      </w:pPr>
      <w:r>
        <w:t>NetCDF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AE64C7" w:rsidRPr="00AE64C7" w:rsidRDefault="00AE64C7" w:rsidP="00AE64C7">
      <w:pPr>
        <w:pStyle w:val="Heading3"/>
      </w:pPr>
      <w:r>
        <w:t>Base classes</w:t>
      </w:r>
    </w:p>
    <w:p w:rsidR="005E711C" w:rsidRDefault="005E711C" w:rsidP="005E711C">
      <w:pPr>
        <w:pStyle w:val="Heading3"/>
      </w:pPr>
      <w:r>
        <w:t>Important considerations when implementing a generator</w:t>
      </w:r>
    </w:p>
    <w:p w:rsidR="005E711C" w:rsidRDefault="005E711C" w:rsidP="005E711C">
      <w:pPr>
        <w:pStyle w:val="Heading4"/>
      </w:pPr>
      <w:r>
        <w:t>Handling of negative param values</w:t>
      </w:r>
    </w:p>
    <w:p w:rsidR="00F92E76" w:rsidRPr="00F92E76" w:rsidRDefault="00F92E76" w:rsidP="00F92E76">
      <w:pPr>
        <w:pStyle w:val="Heading4"/>
      </w:pPr>
      <w:r>
        <w:t xml:space="preserve">Handling of </w:t>
      </w:r>
      <w:r w:rsidR="0005336D">
        <w:t>‘</w:t>
      </w:r>
      <w:r>
        <w:t>ts_demand</w:t>
      </w:r>
      <w:r w:rsidR="0005336D">
        <w:t>’</w:t>
      </w:r>
      <w:r>
        <w:t xml:space="preserve"> timeseries</w:t>
      </w:r>
    </w:p>
    <w:p w:rsidR="00A764A9" w:rsidRDefault="00A764A9" w:rsidP="00A764A9">
      <w:pPr>
        <w:pStyle w:val="Heading3"/>
      </w:pPr>
      <w:r>
        <w:t>Variable generators</w:t>
      </w:r>
    </w:p>
    <w:p w:rsidR="00A764A9" w:rsidRDefault="00A764A9" w:rsidP="00A764A9">
      <w:pPr>
        <w:pStyle w:val="Heading3"/>
      </w:pPr>
      <w:r>
        <w:t>Thermal generators</w:t>
      </w:r>
    </w:p>
    <w:p w:rsidR="00A764A9" w:rsidRDefault="00A764A9" w:rsidP="00A764A9">
      <w:pPr>
        <w:pStyle w:val="Heading3"/>
      </w:pPr>
      <w:r>
        <w:t>Hydro generators</w:t>
      </w:r>
    </w:p>
    <w:p w:rsidR="00A764A9" w:rsidRDefault="00A764A9" w:rsidP="00A764A9">
      <w:pPr>
        <w:pStyle w:val="Heading3"/>
      </w:pPr>
      <w:r>
        <w:t>Missed supply models</w:t>
      </w:r>
    </w:p>
    <w:p w:rsidR="00A764A9" w:rsidRPr="00A764A9" w:rsidRDefault="00A764A9" w:rsidP="00A764A9">
      <w:pPr>
        <w:pStyle w:val="Heading3"/>
      </w:pPr>
      <w:r>
        <w:t>Demand models</w:t>
      </w:r>
    </w:p>
    <w:p w:rsidR="006243AD" w:rsidRDefault="006243AD" w:rsidP="00A711FA">
      <w:pPr>
        <w:pStyle w:val="Heading2"/>
      </w:pPr>
      <w:r>
        <w:t>Transmission models</w:t>
      </w:r>
    </w:p>
    <w:p w:rsidR="00A711FA" w:rsidRDefault="00A764A9" w:rsidP="00A711FA">
      <w:pPr>
        <w:pStyle w:val="Heading2"/>
      </w:pPr>
      <w:r>
        <w:t>Master objects</w:t>
      </w:r>
    </w:p>
    <w:p w:rsidR="00490343" w:rsidRPr="00490343" w:rsidRDefault="00490343" w:rsidP="00490343">
      <w:pPr>
        <w:pStyle w:val="Heading3"/>
      </w:pPr>
      <w:r>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lastRenderedPageBreak/>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p>
    <w:p w:rsidR="00A711FA" w:rsidRDefault="00A764A9" w:rsidP="00A764A9">
      <w:pPr>
        <w:pStyle w:val="Heading1"/>
      </w:pPr>
      <w:r>
        <w:t>Web interface version (GE demo)</w:t>
      </w:r>
    </w:p>
    <w:p w:rsidR="00A764A9" w:rsidRDefault="00A764A9" w:rsidP="00A764A9">
      <w:pPr>
        <w:pStyle w:val="Heading2"/>
      </w:pPr>
      <w:r>
        <w:t>Scripts to run GE demo</w:t>
      </w:r>
    </w:p>
    <w:p w:rsidR="00A764A9" w:rsidRDefault="00A764A9" w:rsidP="00A764A9">
      <w:pPr>
        <w:pStyle w:val="Heading2"/>
      </w:pPr>
      <w:r>
        <w:t>Format of GE demo inputs and outputs</w:t>
      </w:r>
    </w:p>
    <w:p w:rsidR="00A764A9" w:rsidRPr="00A764A9" w:rsidRDefault="00A764A9" w:rsidP="00A764A9">
      <w:pPr>
        <w:pStyle w:val="Heading2"/>
      </w:pPr>
      <w:r>
        <w:t>Server implementation</w:t>
      </w:r>
    </w:p>
    <w:p w:rsidR="00A711FA" w:rsidRDefault="00A711FA" w:rsidP="00A711FA">
      <w:pPr>
        <w:pStyle w:val="Heading1"/>
      </w:pPr>
      <w:r>
        <w:t>Further work</w:t>
      </w:r>
    </w:p>
    <w:p w:rsidR="008A299B" w:rsidRDefault="00044123" w:rsidP="008A299B">
      <w:pPr>
        <w:pStyle w:val="Heading2"/>
      </w:pPr>
      <w:r>
        <w:t>Unfinished things</w:t>
      </w:r>
    </w:p>
    <w:p w:rsidR="00524275" w:rsidRPr="00524275" w:rsidRDefault="00524275" w:rsidP="00524275">
      <w:pPr>
        <w:pStyle w:val="Heading3"/>
      </w:pPr>
      <w:r>
        <w:t>Comments in geneticalgorithm.py on how it works</w:t>
      </w:r>
    </w:p>
    <w:p w:rsidR="000A7C95" w:rsidRPr="000A7C95" w:rsidRDefault="000A7C95" w:rsidP="000A7C95">
      <w:pPr>
        <w:pStyle w:val="Heading3"/>
      </w:pPr>
      <w:r>
        <w:t>Handling of negative params in gene</w:t>
      </w:r>
    </w:p>
    <w:p w:rsidR="001338E0" w:rsidRDefault="001338E0" w:rsidP="008A299B">
      <w:pPr>
        <w:pStyle w:val="Heading3"/>
      </w:pPr>
      <w:r>
        <w:t>Simple transmission model multi-period</w:t>
      </w:r>
    </w:p>
    <w:p w:rsidR="00B424DF" w:rsidRPr="00B424DF" w:rsidRDefault="00B424DF" w:rsidP="00B424DF">
      <w:r>
        <w:t>Comment also that a simple-tx base class could be useful here.</w:t>
      </w:r>
    </w:p>
    <w:p w:rsidR="00FF1C80" w:rsidRPr="00FF1C80" w:rsidRDefault="00FF1C80" w:rsidP="00FF1C80">
      <w:pPr>
        <w:pStyle w:val="Heading3"/>
      </w:pPr>
      <w:r>
        <w:t>Using the get_details function to identify demand and miss</w:t>
      </w:r>
      <w:r w:rsidR="009C40D8">
        <w:t>ed_supply models in master</w:t>
      </w:r>
    </w:p>
    <w:p w:rsidR="008A299B" w:rsidRDefault="008A299B" w:rsidP="008A299B">
      <w:pPr>
        <w:pStyle w:val="Heading3"/>
      </w:pPr>
      <w:r>
        <w:t>Multi-period carbon handling in thermal models</w:t>
      </w:r>
    </w:p>
    <w:p w:rsidR="00FC4F96" w:rsidRDefault="00FC4F96" w:rsidP="00FC4F96">
      <w:pPr>
        <w:pStyle w:val="Heading3"/>
      </w:pPr>
      <w:r>
        <w:t>Globals for gas, coal prices, and handling in thermal models</w:t>
      </w:r>
    </w:p>
    <w:p w:rsidR="00274A7C" w:rsidRDefault="00274A7C" w:rsidP="00274A7C">
      <w:pPr>
        <w:pStyle w:val="Heading3"/>
      </w:pPr>
      <w:r>
        <w:t>Complete the pumped hydro handling of multi-period</w:t>
      </w:r>
      <w:r w:rsidR="005D3248">
        <w:t>, and for dam expansion</w:t>
      </w:r>
    </w:p>
    <w:p w:rsidR="00696862" w:rsidRPr="00696862" w:rsidRDefault="00696862" w:rsidP="00696862">
      <w:r>
        <w:t>The comments in the code on what the units are of the parameters</w:t>
      </w:r>
      <w:r w:rsidR="007A5534">
        <w:t>, in get_config_spec,</w:t>
      </w:r>
      <w:r>
        <w:t xml:space="preserve"> also need clarification.</w:t>
      </w:r>
    </w:p>
    <w:p w:rsidR="00044123" w:rsidRDefault="00044123" w:rsidP="00044123">
      <w:pPr>
        <w:pStyle w:val="Heading3"/>
      </w:pPr>
      <w:r>
        <w:t>Failing regression and unit tests</w:t>
      </w:r>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pPr>
        <w:pStyle w:val="Code"/>
      </w:pPr>
    </w:p>
    <w:p w:rsidR="00044123" w:rsidRDefault="00044123" w:rsidP="00044123">
      <w:r>
        <w:lastRenderedPageBreak/>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t>Cleanup of SVN branches</w:t>
      </w:r>
    </w:p>
    <w:p w:rsidR="008717C4" w:rsidRPr="008717C4" w:rsidRDefault="008717C4" w:rsidP="008717C4">
      <w:pPr>
        <w:pStyle w:val="Heading3"/>
      </w:pPr>
      <w:r>
        <w:t>Copyright messages</w:t>
      </w:r>
    </w:p>
    <w:p w:rsidR="00044123" w:rsidRDefault="00044123" w:rsidP="00044123">
      <w:pPr>
        <w:pStyle w:val="Heading2"/>
      </w:pPr>
      <w:r>
        <w:t>Next steps</w:t>
      </w:r>
    </w:p>
    <w:p w:rsidR="00274A7C" w:rsidRDefault="00274A7C" w:rsidP="00274A7C">
      <w:pPr>
        <w:pStyle w:val="Heading3"/>
      </w:pPr>
      <w:r>
        <w:t>Handling of discount rates</w:t>
      </w:r>
    </w:p>
    <w:p w:rsidR="00274A7C" w:rsidRDefault="00274A7C" w:rsidP="00274A7C">
      <w:pPr>
        <w:pStyle w:val="Heading3"/>
      </w:pPr>
      <w:r>
        <w:t>Terminal values for models</w:t>
      </w:r>
    </w:p>
    <w:p w:rsidR="00AE64C7" w:rsidRPr="00AE64C7" w:rsidRDefault="00AE64C7" w:rsidP="00AE64C7">
      <w:pPr>
        <w:pStyle w:val="Heading3"/>
      </w:pPr>
      <w:r>
        <w:t>Calculation of O&amp;M</w:t>
      </w:r>
    </w:p>
    <w:p w:rsidR="00044123" w:rsidRDefault="00044123" w:rsidP="00044123">
      <w:pPr>
        <w:pStyle w:val="Heading3"/>
      </w:pPr>
      <w:r>
        <w:t>Capital cost models for multi-period</w:t>
      </w:r>
    </w:p>
    <w:p w:rsidR="00044123" w:rsidRDefault="00044123" w:rsidP="00044123">
      <w:pPr>
        <w:pStyle w:val="Heading3"/>
      </w:pPr>
      <w:r>
        <w:t>Transmission model including flows</w:t>
      </w:r>
    </w:p>
    <w:p w:rsidR="00CD780F" w:rsidRDefault="00CD780F" w:rsidP="00CD780F">
      <w:pPr>
        <w:pStyle w:val="Heading3"/>
      </w:pPr>
      <w:r>
        <w:t>Different dispatch order in different periods</w:t>
      </w:r>
    </w:p>
    <w:p w:rsidR="00044123" w:rsidRDefault="00044123" w:rsidP="00044123">
      <w:pPr>
        <w:pStyle w:val="Heading3"/>
      </w:pPr>
      <w:r>
        <w:t xml:space="preserve">Multi-site </w:t>
      </w:r>
      <w:r w:rsidR="00CD780F">
        <w:t>thermal</w:t>
      </w:r>
      <w:r>
        <w:t xml:space="preserve"> models</w:t>
      </w:r>
    </w:p>
    <w:p w:rsidR="00044123" w:rsidRDefault="00044123" w:rsidP="00044123">
      <w:pPr>
        <w:pStyle w:val="Heading3"/>
      </w:pPr>
      <w:r>
        <w:t>Economic models</w:t>
      </w:r>
    </w:p>
    <w:p w:rsidR="009273FD" w:rsidRPr="009273FD" w:rsidRDefault="009273FD" w:rsidP="009273FD">
      <w:pPr>
        <w:pStyle w:val="Heading3"/>
      </w:pPr>
      <w:r>
        <w:t>Constraints on maximum total new build capacity</w:t>
      </w:r>
    </w:p>
    <w:p w:rsidR="00FC4F96" w:rsidRPr="00FC4F96" w:rsidRDefault="00FC4F96" w:rsidP="00FC4F96">
      <w:pPr>
        <w:pStyle w:val="Heading3"/>
      </w:pPr>
      <w:r>
        <w:t>Variable generators to use weather data instead of capacity factor data</w:t>
      </w:r>
    </w:p>
    <w:p w:rsidR="008A299B" w:rsidRPr="008A299B" w:rsidRDefault="008A299B" w:rsidP="008A299B">
      <w:pPr>
        <w:pStyle w:val="Heading2"/>
      </w:pPr>
      <w:r>
        <w:t xml:space="preserve">Ideas for </w:t>
      </w:r>
      <w:r w:rsidR="00FC4F96">
        <w:t xml:space="preserve">performance </w:t>
      </w:r>
      <w:r>
        <w:t>improvement</w:t>
      </w:r>
    </w:p>
    <w:p w:rsidR="00A711FA" w:rsidRDefault="00A711FA" w:rsidP="008A299B">
      <w:pPr>
        <w:pStyle w:val="Heading3"/>
      </w:pPr>
      <w:r>
        <w:t>Genetic algorithm optimisations</w:t>
      </w:r>
    </w:p>
    <w:p w:rsidR="00A428A3" w:rsidRPr="00A428A3" w:rsidRDefault="00C02EA4" w:rsidP="00A428A3">
      <w:pPr>
        <w:pStyle w:val="Heading4"/>
      </w:pPr>
      <w:r>
        <w:t>Clone-test</w:t>
      </w:r>
      <w:r w:rsidR="00A428A3">
        <w:t xml:space="preserve"> function</w:t>
      </w:r>
      <w:r>
        <w:t xml:space="preserve"> performance</w:t>
      </w:r>
    </w:p>
    <w:p w:rsidR="00316B2D" w:rsidRDefault="00316B2D" w:rsidP="00316B2D">
      <w:pPr>
        <w:pStyle w:val="Heading4"/>
      </w:pPr>
      <w:r>
        <w:t>Combination with gradient-descent algorithm</w:t>
      </w:r>
    </w:p>
    <w:p w:rsidR="00316B2D" w:rsidRDefault="00316B2D" w:rsidP="00316B2D">
      <w:pPr>
        <w:pStyle w:val="Heading4"/>
      </w:pPr>
      <w:r>
        <w:t>Addition of a smaller-radius mutation</w:t>
      </w:r>
    </w:p>
    <w:p w:rsidR="00C02EA4" w:rsidRPr="00C02EA4" w:rsidRDefault="00C02EA4" w:rsidP="00C02EA4">
      <w:pPr>
        <w:pStyle w:val="Heading4"/>
      </w:pPr>
      <w:r>
        <w:t>Definition of an ‘AlgorithmInterface’</w:t>
      </w:r>
    </w:p>
    <w:p w:rsidR="00E50D74" w:rsidRDefault="00E50D74" w:rsidP="008A299B">
      <w:pPr>
        <w:pStyle w:val="Heading3"/>
      </w:pPr>
      <w:r>
        <w:t>Orientation of timeseries data arrays</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 xml:space="preserve">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w:t>
      </w:r>
      <w:r>
        <w:lastRenderedPageBreak/>
        <w:t>that timestep_hrs is correctly applied, backed up with simple unit tests, and system tests where half-hourly and/or two-hourly data is used.</w:t>
      </w:r>
    </w:p>
    <w:p w:rsidR="00A65BD7" w:rsidRDefault="00A65BD7" w:rsidP="00A65BD7">
      <w:pPr>
        <w:pStyle w:val="Heading3"/>
      </w:pPr>
      <w:r>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Pr="00A65BD7" w:rsidRDefault="004779C6" w:rsidP="004779C6">
      <w:pPr>
        <w:pStyle w:val="Heading3"/>
      </w:pPr>
      <w:r>
        <w:t>Formal testing of the GE Demo results</w:t>
      </w:r>
    </w:p>
    <w:p w:rsidR="009D03BC" w:rsidRDefault="00E703B9" w:rsidP="009D03BC">
      <w:pPr>
        <w:pStyle w:val="Heading1"/>
      </w:pPr>
      <w:r>
        <w:t>Python / System tips</w:t>
      </w:r>
    </w:p>
    <w:p w:rsidR="00E409BE" w:rsidRDefault="00E409BE" w:rsidP="009D03BC">
      <w:pPr>
        <w:pStyle w:val="Heading2"/>
      </w:pPr>
      <w:r>
        <w:t>Performance Improvement</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lastRenderedPageBreak/>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Pr="00025990" w:rsidRDefault="00025990" w:rsidP="00025990">
      <w:pPr>
        <w:pStyle w:val="Heading3"/>
      </w:pPr>
      <w:r>
        <w:t>Splitting lines</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8A5F73"/>
    <w:multiLevelType w:val="multilevel"/>
    <w:tmpl w:val="65B64C90"/>
    <w:numStyleLink w:val="Headings"/>
  </w:abstractNum>
  <w:abstractNum w:abstractNumId="6">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5"/>
  </w:num>
  <w:num w:numId="9">
    <w:abstractNumId w:val="9"/>
  </w:num>
  <w:num w:numId="10">
    <w:abstractNumId w:val="6"/>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438B"/>
    <w:rsid w:val="000A7C95"/>
    <w:rsid w:val="000D7D71"/>
    <w:rsid w:val="000E016C"/>
    <w:rsid w:val="001154C9"/>
    <w:rsid w:val="00115639"/>
    <w:rsid w:val="00133435"/>
    <w:rsid w:val="001338E0"/>
    <w:rsid w:val="00135851"/>
    <w:rsid w:val="001501DC"/>
    <w:rsid w:val="0016699A"/>
    <w:rsid w:val="00186CE3"/>
    <w:rsid w:val="001A48F3"/>
    <w:rsid w:val="001C56BA"/>
    <w:rsid w:val="001D3B42"/>
    <w:rsid w:val="001F2196"/>
    <w:rsid w:val="001F6451"/>
    <w:rsid w:val="00205743"/>
    <w:rsid w:val="00205F27"/>
    <w:rsid w:val="00207EDA"/>
    <w:rsid w:val="00224E78"/>
    <w:rsid w:val="00255D32"/>
    <w:rsid w:val="00274A7C"/>
    <w:rsid w:val="00277272"/>
    <w:rsid w:val="002938A4"/>
    <w:rsid w:val="002A3BCE"/>
    <w:rsid w:val="002A6348"/>
    <w:rsid w:val="002B33B9"/>
    <w:rsid w:val="002B4446"/>
    <w:rsid w:val="0031031D"/>
    <w:rsid w:val="003166DF"/>
    <w:rsid w:val="00316B2D"/>
    <w:rsid w:val="003377FD"/>
    <w:rsid w:val="003608B4"/>
    <w:rsid w:val="003636CF"/>
    <w:rsid w:val="00370453"/>
    <w:rsid w:val="003853EE"/>
    <w:rsid w:val="003A14A1"/>
    <w:rsid w:val="003A7673"/>
    <w:rsid w:val="003D0B23"/>
    <w:rsid w:val="00415680"/>
    <w:rsid w:val="004248FC"/>
    <w:rsid w:val="00440033"/>
    <w:rsid w:val="004408CA"/>
    <w:rsid w:val="00444813"/>
    <w:rsid w:val="00470893"/>
    <w:rsid w:val="00475EB2"/>
    <w:rsid w:val="004779C6"/>
    <w:rsid w:val="004879FB"/>
    <w:rsid w:val="00490343"/>
    <w:rsid w:val="00491BD7"/>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B0905"/>
    <w:rsid w:val="005B1D9D"/>
    <w:rsid w:val="005D14AB"/>
    <w:rsid w:val="005D2ECC"/>
    <w:rsid w:val="005D3248"/>
    <w:rsid w:val="005E711C"/>
    <w:rsid w:val="006243AD"/>
    <w:rsid w:val="006444BA"/>
    <w:rsid w:val="00661921"/>
    <w:rsid w:val="006822B2"/>
    <w:rsid w:val="006843AB"/>
    <w:rsid w:val="00696862"/>
    <w:rsid w:val="006B7BFD"/>
    <w:rsid w:val="006C734B"/>
    <w:rsid w:val="006C7A9F"/>
    <w:rsid w:val="006D01B5"/>
    <w:rsid w:val="006E1D2F"/>
    <w:rsid w:val="006E7DDF"/>
    <w:rsid w:val="00706FA5"/>
    <w:rsid w:val="00723D03"/>
    <w:rsid w:val="007423ED"/>
    <w:rsid w:val="00747E7B"/>
    <w:rsid w:val="007560E8"/>
    <w:rsid w:val="007611EE"/>
    <w:rsid w:val="00775C1A"/>
    <w:rsid w:val="007952EB"/>
    <w:rsid w:val="007A5534"/>
    <w:rsid w:val="007A7323"/>
    <w:rsid w:val="007F750D"/>
    <w:rsid w:val="00801C19"/>
    <w:rsid w:val="008043BD"/>
    <w:rsid w:val="008074C5"/>
    <w:rsid w:val="0082099D"/>
    <w:rsid w:val="00834462"/>
    <w:rsid w:val="00836377"/>
    <w:rsid w:val="00841199"/>
    <w:rsid w:val="00866D6F"/>
    <w:rsid w:val="008717C4"/>
    <w:rsid w:val="00893C00"/>
    <w:rsid w:val="008A0593"/>
    <w:rsid w:val="008A1BD4"/>
    <w:rsid w:val="008A299B"/>
    <w:rsid w:val="008D11BB"/>
    <w:rsid w:val="008D6EED"/>
    <w:rsid w:val="00905C35"/>
    <w:rsid w:val="009067F7"/>
    <w:rsid w:val="009236C2"/>
    <w:rsid w:val="0092437B"/>
    <w:rsid w:val="009273FD"/>
    <w:rsid w:val="0093651B"/>
    <w:rsid w:val="00942DF2"/>
    <w:rsid w:val="00947C33"/>
    <w:rsid w:val="00963671"/>
    <w:rsid w:val="0096688A"/>
    <w:rsid w:val="00980402"/>
    <w:rsid w:val="00983222"/>
    <w:rsid w:val="00992E37"/>
    <w:rsid w:val="009A0521"/>
    <w:rsid w:val="009A0E66"/>
    <w:rsid w:val="009B6D3D"/>
    <w:rsid w:val="009C40D8"/>
    <w:rsid w:val="009C419F"/>
    <w:rsid w:val="009D03BC"/>
    <w:rsid w:val="009D3209"/>
    <w:rsid w:val="009E104A"/>
    <w:rsid w:val="009F0D88"/>
    <w:rsid w:val="009F133C"/>
    <w:rsid w:val="00A24AD3"/>
    <w:rsid w:val="00A26CAB"/>
    <w:rsid w:val="00A36D8E"/>
    <w:rsid w:val="00A428A3"/>
    <w:rsid w:val="00A51552"/>
    <w:rsid w:val="00A54FFE"/>
    <w:rsid w:val="00A65BD7"/>
    <w:rsid w:val="00A711FA"/>
    <w:rsid w:val="00A764A9"/>
    <w:rsid w:val="00A81FBB"/>
    <w:rsid w:val="00A908E2"/>
    <w:rsid w:val="00AA347D"/>
    <w:rsid w:val="00AA3E65"/>
    <w:rsid w:val="00AA4C47"/>
    <w:rsid w:val="00AB4335"/>
    <w:rsid w:val="00AC3365"/>
    <w:rsid w:val="00AE64C7"/>
    <w:rsid w:val="00AF0C32"/>
    <w:rsid w:val="00AF14F8"/>
    <w:rsid w:val="00B10E67"/>
    <w:rsid w:val="00B31616"/>
    <w:rsid w:val="00B32827"/>
    <w:rsid w:val="00B32D9A"/>
    <w:rsid w:val="00B424DF"/>
    <w:rsid w:val="00B530DC"/>
    <w:rsid w:val="00B67D6C"/>
    <w:rsid w:val="00B72DAA"/>
    <w:rsid w:val="00B8026E"/>
    <w:rsid w:val="00B9110F"/>
    <w:rsid w:val="00BE277C"/>
    <w:rsid w:val="00BF4A84"/>
    <w:rsid w:val="00C00466"/>
    <w:rsid w:val="00C02CB4"/>
    <w:rsid w:val="00C02EA4"/>
    <w:rsid w:val="00C12CBD"/>
    <w:rsid w:val="00C137D0"/>
    <w:rsid w:val="00C31CC4"/>
    <w:rsid w:val="00C357D7"/>
    <w:rsid w:val="00C71BE9"/>
    <w:rsid w:val="00C74819"/>
    <w:rsid w:val="00C854DD"/>
    <w:rsid w:val="00CA3AE1"/>
    <w:rsid w:val="00CB0B1C"/>
    <w:rsid w:val="00CD780F"/>
    <w:rsid w:val="00CE0988"/>
    <w:rsid w:val="00CE0E64"/>
    <w:rsid w:val="00D207FD"/>
    <w:rsid w:val="00D3092F"/>
    <w:rsid w:val="00D4085B"/>
    <w:rsid w:val="00D56A52"/>
    <w:rsid w:val="00D647EA"/>
    <w:rsid w:val="00D7774D"/>
    <w:rsid w:val="00D92F28"/>
    <w:rsid w:val="00D9668D"/>
    <w:rsid w:val="00D96C0D"/>
    <w:rsid w:val="00DF3C7B"/>
    <w:rsid w:val="00E02BC6"/>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E1F76"/>
    <w:rsid w:val="00EE5D83"/>
    <w:rsid w:val="00F06BDD"/>
    <w:rsid w:val="00F51C2C"/>
    <w:rsid w:val="00F51D89"/>
    <w:rsid w:val="00F63566"/>
    <w:rsid w:val="00F827DD"/>
    <w:rsid w:val="00F92E76"/>
    <w:rsid w:val="00FA1EFF"/>
    <w:rsid w:val="00FA62F1"/>
    <w:rsid w:val="00FB21A9"/>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21FACEEE-9E63-46A8-B1BA-6E8D600FB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11</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118</cp:revision>
  <cp:lastPrinted>2013-03-06T09:23:00Z</cp:lastPrinted>
  <dcterms:created xsi:type="dcterms:W3CDTF">2012-04-22T22:43:00Z</dcterms:created>
  <dcterms:modified xsi:type="dcterms:W3CDTF">2013-03-08T01:13:00Z</dcterms:modified>
</cp:coreProperties>
</file>