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03099339" w:rsidR="00EF30C6" w:rsidRPr="009E4034"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7779163" w14:textId="2EFEFA30" w:rsidR="00DF44D7" w:rsidRDefault="001904FA" w:rsidP="00C13F1C">
      <w:pPr>
        <w:pStyle w:val="Heading1"/>
      </w:pPr>
      <w:r>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548BB5C5"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(4V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lastRenderedPageBreak/>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w:t>
            </w:r>
            <w:r w:rsidR="007F5B3D">
              <w:t>differential</w:t>
            </w:r>
            <w:r w:rsidR="007F5B3D">
              <w:t>)</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w:t>
            </w:r>
            <w:r>
              <w:t>68</w:t>
            </w:r>
            <w:r>
              <w:t>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t>Input channel Noise and Distortion</w:t>
      </w:r>
    </w:p>
    <w:p w14:paraId="1546A671" w14:textId="69106DA5" w:rsidR="00302D26" w:rsidRDefault="00302D26" w:rsidP="00302D26">
      <w:r>
        <w:t>Measured with REW @ 937 Hz.</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w:t>
            </w:r>
            <w:r w:rsidRPr="00302D26">
              <w:rPr>
                <w:rFonts w:ascii="Segoe UI" w:hAnsi="Segoe UI" w:cs="Segoe UI"/>
                <w:color w:val="141414"/>
                <w:shd w:val="clear" w:color="auto" w:fill="FEFEFE"/>
              </w:rPr>
              <w:t>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w:t>
      </w:r>
      <w:r>
        <w:t xml:space="preserve">input </w:t>
      </w:r>
      <w:r>
        <w:t>signal is applied</w:t>
      </w:r>
      <w:r>
        <w:t xml:space="preserve">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 xml:space="preserve">not used (i.e.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w:t>
      </w:r>
      <w:r w:rsidR="007F7D34">
        <w:t xml:space="preserve">The mux has eight addresses (0x70 – 0x77) available, selected by </w:t>
      </w:r>
      <w:r w:rsidR="007F7D34">
        <w:t xml:space="preserve">solder </w:t>
      </w:r>
      <w:r w:rsidR="007F7D34">
        <w:t>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w:t>
      </w:r>
      <w:r w:rsidR="00FC63BC">
        <w:lastRenderedPageBreak/>
        <w:t>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w:t>
      </w:r>
      <w:r>
        <w:t xml:space="preserve">to </w:t>
      </w:r>
      <w:r>
        <w:t xml:space="preserve">damp line reflections. When more than two boards are stacked, these may need to be increased to 100 </w:t>
      </w:r>
      <w:r>
        <w:sym w:font="Symbol" w:char="F057"/>
      </w:r>
      <w:r>
        <w:t xml:space="preserve"> per board</w:t>
      </w:r>
      <w:r>
        <w:t>.</w:t>
      </w:r>
    </w:p>
    <w:p w14:paraId="623E3C10" w14:textId="77777777" w:rsidR="00EF30C6" w:rsidRDefault="00EF30C6" w:rsidP="00EF30C6">
      <w:r>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3631B993" w14:textId="6621FAA4"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56A40051" w:rsidR="00630A4E" w:rsidRDefault="00630A4E" w:rsidP="00744473">
      <w:r>
        <w:t>The channel numbering on the inputs and outputs is different. Pin 3 is the first positive input pin, and the last positive output pin. The ground and power pins are the same on input and output connectors.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lastRenderedPageBreak/>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r>
              <w:t>-</w:t>
            </w:r>
          </w:p>
        </w:tc>
        <w:tc>
          <w:tcPr>
            <w:tcW w:w="1134" w:type="dxa"/>
            <w:tcBorders>
              <w:right w:val="single" w:sz="12" w:space="0" w:color="auto"/>
            </w:tcBorders>
          </w:tcPr>
          <w:p w14:paraId="174D4E96" w14:textId="64C777E5" w:rsidR="00D544FE" w:rsidRDefault="00D544FE" w:rsidP="00630A4E">
            <w:r>
              <w:t>OUT4</w:t>
            </w:r>
            <w:r>
              <w:t>-</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r>
              <w:t>-</w:t>
            </w:r>
          </w:p>
        </w:tc>
        <w:tc>
          <w:tcPr>
            <w:tcW w:w="1134" w:type="dxa"/>
            <w:tcBorders>
              <w:right w:val="single" w:sz="12" w:space="0" w:color="auto"/>
            </w:tcBorders>
          </w:tcPr>
          <w:p w14:paraId="40656D77" w14:textId="2BFB0530" w:rsidR="00D544FE" w:rsidRDefault="00D544FE" w:rsidP="00630A4E">
            <w:r>
              <w:t>OUT3</w:t>
            </w:r>
            <w:r>
              <w:t>-</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r>
              <w:t>-</w:t>
            </w:r>
          </w:p>
        </w:tc>
        <w:tc>
          <w:tcPr>
            <w:tcW w:w="1134" w:type="dxa"/>
            <w:tcBorders>
              <w:right w:val="single" w:sz="12" w:space="0" w:color="auto"/>
            </w:tcBorders>
          </w:tcPr>
          <w:p w14:paraId="44E667C2" w14:textId="7CAA70ED" w:rsidR="00D544FE" w:rsidRDefault="00D544FE" w:rsidP="00630A4E">
            <w:r>
              <w:t>OUT2</w:t>
            </w:r>
            <w:r>
              <w:t>-</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r>
              <w:t>-</w:t>
            </w:r>
          </w:p>
        </w:tc>
        <w:tc>
          <w:tcPr>
            <w:tcW w:w="1134" w:type="dxa"/>
            <w:tcBorders>
              <w:right w:val="single" w:sz="12" w:space="0" w:color="auto"/>
            </w:tcBorders>
          </w:tcPr>
          <w:p w14:paraId="3D8CF8C3" w14:textId="727106B8" w:rsidR="00D544FE" w:rsidRDefault="00D544FE" w:rsidP="00630A4E">
            <w:r>
              <w:t>OUT1</w:t>
            </w:r>
            <w:r>
              <w:t>-</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77777777" w:rsidR="00630A4E" w:rsidRDefault="00630A4E" w:rsidP="00744473"/>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3B7A1A17" w:rsidR="00A021DD" w:rsidRPr="00A021DD" w:rsidRDefault="00A021DD" w:rsidP="00A021DD">
            <w:r w:rsidRPr="00A021DD">
              <w:t>22</w:t>
            </w:r>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B2C5D6" w:rsidR="00A021DD" w:rsidRPr="00A021DD" w:rsidRDefault="00A021DD" w:rsidP="00A021DD">
            <w:r w:rsidRPr="00A021DD">
              <w:t>8</w:t>
            </w:r>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43629568" w:rsidR="00A021DD" w:rsidRPr="00A021DD" w:rsidRDefault="00A021DD" w:rsidP="00A021DD">
            <w:r w:rsidRPr="00A021DD">
              <w:t>7</w:t>
            </w:r>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6667FF41" w14:textId="7763F9BC" w:rsidR="00107753" w:rsidRDefault="00107753" w:rsidP="00636846">
      <w:pPr>
        <w:pStyle w:val="Heading2"/>
      </w:pPr>
      <w:r>
        <w:t>Wing Boards</w:t>
      </w:r>
    </w:p>
    <w:p w14:paraId="78FF6901" w14:textId="2C3C94B1"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F0BB0D3"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w:t>
      </w:r>
      <w:r w:rsidR="00CA3D9B">
        <w:t xml:space="preserve"> to allow these signals to float</w:t>
      </w:r>
      <w:r w:rsidR="00CA3D9B">
        <w:t>.</w:t>
      </w:r>
    </w:p>
    <w:p w14:paraId="04544359" w14:textId="52318894" w:rsidR="008B555A" w:rsidRPr="00CB2819" w:rsidRDefault="004065F9" w:rsidP="008B555A">
      <w:r>
        <w:lastRenderedPageBreak/>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DC10D" w:rsidR="00107753" w:rsidRDefault="00107753" w:rsidP="00107753">
      <w:pPr>
        <w:pStyle w:val="Heading3"/>
      </w:pPr>
      <w:r>
        <w:t>Combo</w:t>
      </w:r>
    </w:p>
    <w:p w14:paraId="52879404" w14:textId="0CE2BA84"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6DEA6EA2" w:rsidR="00CB2819" w:rsidRDefault="00CB2819" w:rsidP="00CB2819">
      <w:r>
        <w:t>The board has decoupling capacitors and discharge resistors to reduce pops when hot-plugging.</w:t>
      </w:r>
    </w:p>
    <w:p w14:paraId="604CCDC6" w14:textId="2C37B2AC"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71B6410F"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10DAE1C8" w:rsidR="007C4583" w:rsidRDefault="007C4583" w:rsidP="007C4583">
      <w:r>
        <w:t xml:space="preserve">The board has </w:t>
      </w:r>
      <w:r w:rsidR="00264AFF">
        <w:t xml:space="preserve">50V </w:t>
      </w:r>
      <w:r>
        <w:t>decoupling capacitors.</w:t>
      </w:r>
    </w:p>
    <w:p w14:paraId="55A32D51" w14:textId="38E93749" w:rsidR="00E12343" w:rsidRDefault="00E12343" w:rsidP="00E12343">
      <w:pPr>
        <w:pStyle w:val="Heading3"/>
      </w:pPr>
      <w:r>
        <w:t>TRS</w:t>
      </w:r>
    </w:p>
    <w:p w14:paraId="369697DB" w14:textId="20A06344"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5" w:history="1">
        <w:r w:rsidR="00E12343" w:rsidRPr="00E12343">
          <w:t>Amphenol</w:t>
        </w:r>
      </w:hyperlink>
      <w:r w:rsidR="00E12343" w:rsidRPr="00E12343">
        <w:t xml:space="preserve"> </w:t>
      </w:r>
      <w:hyperlink r:id="rId6" w:history="1">
        <w:r w:rsidR="00E12343" w:rsidRPr="00E12343">
          <w:t>ACJM-IH</w:t>
        </w:r>
      </w:hyperlink>
      <w:r w:rsidR="00E12343" w:rsidRPr="00E12343">
        <w:t xml:space="preserve">, </w:t>
      </w:r>
      <w:hyperlink r:id="rId7" w:history="1">
        <w:r w:rsidR="00E12343" w:rsidRPr="00E12343">
          <w:t>Neutrik</w:t>
        </w:r>
      </w:hyperlink>
      <w:r w:rsidR="00E12343" w:rsidRPr="00E12343">
        <w:t xml:space="preserve"> </w:t>
      </w:r>
      <w:hyperlink r:id="rId8"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0F7F9148"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These are only required for the output configuration.</w:t>
      </w:r>
    </w:p>
    <w:p w14:paraId="3A5377BA" w14:textId="7D0B5CFF"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36C2ED28"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lastRenderedPageBreak/>
        <w:t xml:space="preserve">Teensy Audio Library </w:t>
      </w:r>
      <w:r w:rsidR="001D3191">
        <w:t>Audio</w:t>
      </w:r>
      <w:r>
        <w:t>Control object</w:t>
      </w:r>
    </w:p>
    <w:p w14:paraId="531A6FA5" w14:textId="409C0BDA" w:rsidR="001D3191" w:rsidRDefault="001D3191" w:rsidP="001D3191">
      <w:pPr>
        <w:pStyle w:val="Heading3"/>
      </w:pPr>
      <w:r>
        <w:t>AudioControl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t>Alternate mic-line inputs and MICBIAS.</w:t>
      </w:r>
    </w:p>
    <w:p w14:paraId="34391855" w14:textId="32FB2769"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77777777" w:rsidR="001D3191" w:rsidRPr="009A760E" w:rsidRDefault="001D3191" w:rsidP="001D3191">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45EAD"/>
    <w:rsid w:val="00251FA0"/>
    <w:rsid w:val="00264AFF"/>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58D1"/>
    <w:rsid w:val="007B4FD6"/>
    <w:rsid w:val="007B74D3"/>
    <w:rsid w:val="007C4583"/>
    <w:rsid w:val="007E3745"/>
    <w:rsid w:val="007E3C6F"/>
    <w:rsid w:val="007F5B3D"/>
    <w:rsid w:val="007F7D34"/>
    <w:rsid w:val="00806F09"/>
    <w:rsid w:val="00830064"/>
    <w:rsid w:val="00846A19"/>
    <w:rsid w:val="008609E9"/>
    <w:rsid w:val="00861DBD"/>
    <w:rsid w:val="00863B65"/>
    <w:rsid w:val="008B474A"/>
    <w:rsid w:val="008B555A"/>
    <w:rsid w:val="008B78AF"/>
    <w:rsid w:val="008C04ED"/>
    <w:rsid w:val="008C1919"/>
    <w:rsid w:val="008C4026"/>
    <w:rsid w:val="008C70B6"/>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F683E"/>
    <w:rsid w:val="00A021DD"/>
    <w:rsid w:val="00A606D8"/>
    <w:rsid w:val="00A65F03"/>
    <w:rsid w:val="00A729AE"/>
    <w:rsid w:val="00AE7304"/>
    <w:rsid w:val="00B028D0"/>
    <w:rsid w:val="00B02A76"/>
    <w:rsid w:val="00B37DB4"/>
    <w:rsid w:val="00B51D52"/>
    <w:rsid w:val="00B53AE6"/>
    <w:rsid w:val="00B662F3"/>
    <w:rsid w:val="00B67FFC"/>
    <w:rsid w:val="00BA1C3B"/>
    <w:rsid w:val="00BD5762"/>
    <w:rsid w:val="00BD62C0"/>
    <w:rsid w:val="00BE22B4"/>
    <w:rsid w:val="00BE27AD"/>
    <w:rsid w:val="00BE2D0D"/>
    <w:rsid w:val="00C13F1C"/>
    <w:rsid w:val="00C235DF"/>
    <w:rsid w:val="00C3221B"/>
    <w:rsid w:val="00C32AF8"/>
    <w:rsid w:val="00C4249D"/>
    <w:rsid w:val="00C43249"/>
    <w:rsid w:val="00C453D2"/>
    <w:rsid w:val="00C54478"/>
    <w:rsid w:val="00C64BC2"/>
    <w:rsid w:val="00C73491"/>
    <w:rsid w:val="00C74DF5"/>
    <w:rsid w:val="00C91C0F"/>
    <w:rsid w:val="00CA3D9B"/>
    <w:rsid w:val="00CA5522"/>
    <w:rsid w:val="00CB2819"/>
    <w:rsid w:val="00CB5795"/>
    <w:rsid w:val="00CC49C2"/>
    <w:rsid w:val="00CC6C62"/>
    <w:rsid w:val="00CD0D63"/>
    <w:rsid w:val="00CE5A3C"/>
    <w:rsid w:val="00CE5CB1"/>
    <w:rsid w:val="00D0105D"/>
    <w:rsid w:val="00D039C7"/>
    <w:rsid w:val="00D15FC7"/>
    <w:rsid w:val="00D16050"/>
    <w:rsid w:val="00D5087E"/>
    <w:rsid w:val="00D544FE"/>
    <w:rsid w:val="00D62752"/>
    <w:rsid w:val="00D704D1"/>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mouser.com/ProductDetail/Neutrik/NMJ4HFD3?qs=%252B86TLfaev2%252B4Sd%2FGmMLlUg%3D%3D" TargetMode="External"/><Relationship Id="rId3" Type="http://schemas.openxmlformats.org/officeDocument/2006/relationships/settings" Target="settings.xml"/><Relationship Id="rId7" Type="http://schemas.openxmlformats.org/officeDocument/2006/relationships/hyperlink" Target="https://au.mouser.com/manufacturer/neutr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mouser.com/ProductDetail/Amphenol-Audio/ACJM-IH?qs=t8VhaDIDl4v4EBLCsB4y7Q%3D%3D" TargetMode="External"/><Relationship Id="rId5" Type="http://schemas.openxmlformats.org/officeDocument/2006/relationships/hyperlink" Target="https://au.mouser.com/manufacturer/ampheno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20204</TotalTime>
  <Pages>6</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149</cp:revision>
  <dcterms:created xsi:type="dcterms:W3CDTF">2024-07-21T05:17:00Z</dcterms:created>
  <dcterms:modified xsi:type="dcterms:W3CDTF">2025-03-27T22:36:00Z</dcterms:modified>
</cp:coreProperties>
</file>