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36"/>
          <w:szCs w:val="36"/>
        </w:rPr>
        <w:t xml:space="preserve">Documento de Apoio ao MVP</w:t>
      </w:r>
    </w:p>
    <w:p>
      <w:pPr>
        <w:spacing w:after="200"/>
        <w:jc w:val="center"/>
      </w:pPr>
      <w:r>
        <w:rPr>
          <w:b/>
          <w:bCs/>
          <w:sz w:val="26"/>
          <w:szCs w:val="26"/>
        </w:rPr>
        <w:t xml:space="preserve">Previsão de Inatividade de Clientes de Restaurante</w:t>
      </w:r>
    </w:p>
    <w:p>
      <w:pPr>
        <w:spacing w:after="40"/>
        <w:jc w:val="center"/>
      </w:pPr>
      <w:r>
        <w:rPr>
          <w:sz w:val="22"/>
          <w:szCs w:val="22"/>
        </w:rPr>
        <w:t xml:space="preserve">Disciplina PSP8 — Introdução à Ciência de Dados</w:t>
      </w:r>
    </w:p>
    <w:p>
      <w:pPr>
        <w:spacing w:after="40"/>
        <w:jc w:val="center"/>
      </w:pPr>
      <w:r>
        <w:rPr>
          <w:sz w:val="22"/>
          <w:szCs w:val="22"/>
        </w:rPr>
        <w:t xml:space="preserve">Prof. Dr. André Serrano — Universidade de Brasília (UnB)</w:t>
      </w:r>
    </w:p>
    <w:p>
      <w:pPr>
        <w:spacing w:after="320"/>
        <w:jc w:val="center"/>
      </w:pPr>
      <w:r>
        <w:rPr>
          <w:i/>
          <w:iCs/>
          <w:sz w:val="22"/>
          <w:szCs w:val="22"/>
        </w:rPr>
        <w:t xml:space="preserve">Autora: Paloma Vasconcellos</w:t>
      </w:r>
    </w:p>
    <w:p>
      <w:pPr>
        <w:pStyle w:val="Heading1"/>
        <w:spacing w:after="160" w:before="320"/>
      </w:pPr>
      <w:r>
        <w:rPr>
          <w:b/>
          <w:bCs/>
          <w:color w:val="1F4E78"/>
          <w:sz w:val="28"/>
          <w:szCs w:val="28"/>
        </w:rPr>
        <w:t xml:space="preserve">1. Objetivo deste documento</w:t>
      </w:r>
    </w:p>
    <w:p>
      <w:pPr>
        <w:spacing w:after="160" w:line="300"/>
      </w:pPr>
      <w:r>
        <w:rPr>
          <w:b w:val="false"/>
          <w:bCs w:val="false"/>
          <w:i w:val="false"/>
          <w:iCs w:val="false"/>
          <w:sz w:val="22"/>
          <w:szCs w:val="22"/>
        </w:rPr>
        <w:t xml:space="preserve">Este documento acompanha a entrega do MVP da disciplina PSP8 e tem como objetivo apresentar, de forma resumida, o contexto do problema escolhido, a origem e o tratamento dos dados utilizados, a metodologia aplicada e os principais resultados obtidos. O trabalho completo — com todo o código, a documentação célula a célula e a análise detalhada — está disponível no notebook público do Google Colab e no repositório GitHub indicados na seção 6.</w:t>
      </w:r>
    </w:p>
    <w:p>
      <w:pPr>
        <w:pStyle w:val="Heading1"/>
        <w:spacing w:after="160" w:before="320"/>
      </w:pPr>
      <w:r>
        <w:rPr>
          <w:b/>
          <w:bCs/>
          <w:color w:val="1F4E78"/>
          <w:sz w:val="28"/>
          <w:szCs w:val="28"/>
        </w:rPr>
        <w:t xml:space="preserve">2. Contexto e motivação</w:t>
      </w:r>
    </w:p>
    <w:p>
      <w:pPr>
        <w:spacing w:after="160" w:line="300"/>
      </w:pPr>
      <w:r>
        <w:rPr>
          <w:b w:val="false"/>
          <w:bCs w:val="false"/>
          <w:i w:val="false"/>
          <w:iCs w:val="false"/>
          <w:sz w:val="22"/>
          <w:szCs w:val="22"/>
        </w:rPr>
        <w:t xml:space="preserve">Atuo profissionalmente com clientes do setor de restaurantes. Um cliente meu — uma franquia que opera no modelo rodízio (valor fixo, consumo à vontade) — está em processo de reposicionamento comercial: identificou que um item específico do cardápio é um gargalo de custo desproporcional dentro do rodízio e está testando cobrar por ele separadamente, monitorando de perto como essas mudanças afetam o consumo e o desperdício.</w:t>
      </w:r>
    </w:p>
    <w:p>
      <w:pPr>
        <w:spacing w:after="160" w:line="300"/>
      </w:pPr>
      <w:r>
        <w:rPr>
          <w:b w:val="false"/>
          <w:bCs w:val="false"/>
          <w:i w:val="false"/>
          <w:iCs w:val="false"/>
          <w:sz w:val="22"/>
          <w:szCs w:val="22"/>
        </w:rPr>
        <w:t xml:space="preserve">Nesse cenário de transição, a franquia também quer acompanhar mais de perto a fidelidade dos seus clientes — hoje medida, na prática, pelo histórico de consumo (frequência de visitas, ticket médio, reclamações, satisfação) — para identificar antecipadamente clientes que estão reduzindo a frequência ou a caminho de ficar inativos, já que uma mudança de precificação como essa tende a afetar primeiro os clientes mais sensíveis a preço. Diferentemente de negócios por assinatura, a maioria dos restaurantes não tem um "cancelamento" formal: o cliente simplesmente para de voltar, sem aviso — o que torna a previsão de inatividade uma ferramenta de grande valor prático para ações de retenção (cupons, contato do time de relacionamento, ofertas direcionadas).</w:t>
      </w:r>
    </w:p>
    <w:p>
      <w:pPr>
        <w:spacing w:after="160" w:line="300"/>
      </w:pPr>
      <w:r>
        <w:rPr>
          <w:b w:val="false"/>
          <w:bCs w:val="false"/>
          <w:i w:val="false"/>
          <w:iCs w:val="false"/>
          <w:sz w:val="22"/>
          <w:szCs w:val="22"/>
        </w:rPr>
        <w:t xml:space="preserve">Este MVP foi desenvolvido a partir desse problema real, observado na prática com esse cliente. O nome da franquia é omitido neste documento por confidencialidade comercial.</w:t>
      </w:r>
    </w:p>
    <w:p>
      <w:pPr>
        <w:pStyle w:val="Heading1"/>
        <w:spacing w:after="160" w:before="320"/>
      </w:pPr>
      <w:r>
        <w:rPr>
          <w:b/>
          <w:bCs/>
          <w:color w:val="1F4E78"/>
          <w:sz w:val="28"/>
          <w:szCs w:val="28"/>
        </w:rPr>
        <w:t xml:space="preserve">3. Origem e tratamento dos dados</w:t>
      </w:r>
    </w:p>
    <w:p>
      <w:pPr>
        <w:spacing w:after="160" w:line="300"/>
      </w:pPr>
      <w:r>
        <w:rPr>
          <w:b w:val="false"/>
          <w:bCs w:val="false"/>
          <w:i w:val="false"/>
          <w:iCs w:val="false"/>
          <w:sz w:val="22"/>
          <w:szCs w:val="22"/>
        </w:rPr>
        <w:t xml:space="preserve">Os dados de clientes de um restaurante contêm informações que exigem cuidado especial de proteção, em conformidade com a Lei Geral de Proteção de Dados (LGPD). Por esse motivo, optei por não utilizar uma extração direta da base de nenhum cliente meu — mesmo com mascaramento de campos, uma base derivada de registros reais sempre carrega algum risco residual de reidentificação, especialmente em conjuntos de dados pequenos ou muito específicos.</w:t>
      </w:r>
    </w:p>
    <w:p>
      <w:pPr>
        <w:spacing w:after="160" w:line="300"/>
      </w:pPr>
      <w:r>
        <w:rPr>
          <w:b w:val="false"/>
          <w:bCs w:val="false"/>
          <w:i w:val="false"/>
          <w:iCs w:val="false"/>
          <w:sz w:val="22"/>
          <w:szCs w:val="22"/>
        </w:rPr>
        <w:t xml:space="preserve">A alternativa adotada, e que considero metodologicamente mais robusta do ponto de vista de proteção de dados, foi gerar uma base de dados inteiramente sintética por meio de um script próprio (disponível no repositório, em scripts/gerar_dataset.py), reproduzindo estatisticamente o padrão de comportamento observado na prática com clientes de restaurante: os mesmos atributos (tempo de relacionamento, reclamações, no-show, satisfação, ticket médio, categoria de fidelidade), a mesma relação entre esses atributos e a inatividade do cliente, e os mesmos tipos de problema de qualidade de dados encontrados em uma exportação real de sistema de CRM/PDV (valores ausentes, categorias inconsistentes, tipos de dado incorretos, datas em formatos diferentes, duplicidades e outliers).</w:t>
      </w:r>
    </w:p>
    <w:p>
      <w:pPr>
        <w:spacing w:after="160" w:line="300"/>
      </w:pPr>
      <w:r>
        <w:rPr>
          <w:b w:val="false"/>
          <w:bCs w:val="false"/>
          <w:i w:val="false"/>
          <w:iCs w:val="false"/>
          <w:sz w:val="22"/>
          <w:szCs w:val="22"/>
        </w:rPr>
        <w:t xml:space="preserve">Ou seja: o problema de negócio e a lógica de geração dos dados refletem uma situação real do setor; os valores individuais da base, porém, são simulados — nenhuma linha do dataset corresponde a um cliente real identificável. Essa escolha elimina por completo o risco de exposição de dados pessoais de clientes, ao mesmo tempo em que preserva a validade do exercício de ciência de dados (limpeza, modelagem e avaliação são feitas exatamente como seriam sobre uma base real equivalente).</w:t>
      </w:r>
    </w:p>
    <w:p>
      <w:pPr>
        <w:spacing w:after="160" w:line="300"/>
      </w:pPr>
      <w:r>
        <w:rPr>
          <w:b w:val="false"/>
          <w:bCs w:val="false"/>
          <w:i/>
          <w:iCs/>
          <w:sz w:val="22"/>
          <w:szCs w:val="22"/>
        </w:rPr>
        <w:t xml:space="preserve">O pipeline construído neste MVP foi propositalmente desenhado para ser reaproveitável: para aplicá-lo a uma base real de um cliente (mediante autorização e acordo de confidencialidade adequados), bastaria substituir o arquivo de dados de entrada, sem necessidade de alterar a lógica de limpeza, modelagem ou avaliação.</w:t>
      </w:r>
    </w:p>
    <w:p>
      <w:pPr>
        <w:pStyle w:val="Heading1"/>
        <w:spacing w:after="160" w:before="320"/>
      </w:pPr>
      <w:r>
        <w:rPr>
          <w:b/>
          <w:bCs/>
          <w:color w:val="1F4E78"/>
          <w:sz w:val="28"/>
          <w:szCs w:val="28"/>
        </w:rPr>
        <w:t xml:space="preserve">4. Definição do problema</w:t>
      </w:r>
    </w:p>
    <w:p>
      <w:pPr>
        <w:spacing w:after="160" w:line="300"/>
      </w:pPr>
      <w:r>
        <w:rPr>
          <w:b w:val="false"/>
          <w:bCs w:val="false"/>
          <w:i w:val="false"/>
          <w:iCs w:val="false"/>
          <w:sz w:val="22"/>
          <w:szCs w:val="22"/>
        </w:rPr>
        <w:t xml:space="preserve">Problema de classificação binária (aprendizado supervisionado): prever se um cliente cadastrado no programa de fidelidade de um restaurante ficará inativo — ou seja, não realizará nenhum novo pedido, reserva ou visita dentro de uma janela recente de observação — a partir de atributos de cadastro e de histórico de consumo.</w:t>
      </w:r>
    </w:p>
    <w:p>
      <w:pPr>
        <w:spacing w:after="160" w:line="300"/>
      </w:pPr>
      <w:r>
        <w:rPr>
          <w:b w:val="false"/>
          <w:bCs w:val="false"/>
          <w:i w:val="false"/>
          <w:iCs w:val="false"/>
          <w:sz w:val="22"/>
          <w:szCs w:val="22"/>
        </w:rPr>
        <w:t xml:space="preserve">Atributos utilizados como preditores:</w:t>
      </w:r>
    </w:p>
    <w:p>
      <w:pPr>
        <w:pStyle w:val="ListParagraph"/>
        <w:numPr>
          <w:ilvl w:val="0"/>
          <w:numId w:val="1"/>
        </w:numPr>
        <w:spacing w:after="80" w:line="300"/>
      </w:pPr>
      <w:r>
        <w:rPr>
          <w:sz w:val="22"/>
          <w:szCs w:val="22"/>
        </w:rPr>
        <w:t xml:space="preserve">Idade e gênero do cliente</w:t>
      </w:r>
    </w:p>
    <w:p>
      <w:pPr>
        <w:pStyle w:val="ListParagraph"/>
        <w:numPr>
          <w:ilvl w:val="0"/>
          <w:numId w:val="1"/>
        </w:numPr>
        <w:spacing w:after="80" w:line="300"/>
      </w:pPr>
      <w:r>
        <w:rPr>
          <w:sz w:val="22"/>
          <w:szCs w:val="22"/>
        </w:rPr>
        <w:t xml:space="preserve">Tempo de relacionamento com o restaurante (meses)</w:t>
      </w:r>
    </w:p>
    <w:p>
      <w:pPr>
        <w:pStyle w:val="ListParagraph"/>
        <w:numPr>
          <w:ilvl w:val="0"/>
          <w:numId w:val="1"/>
        </w:numPr>
        <w:spacing w:after="80" w:line="300"/>
      </w:pPr>
      <w:r>
        <w:rPr>
          <w:sz w:val="22"/>
          <w:szCs w:val="22"/>
        </w:rPr>
        <w:t xml:space="preserve">Categoria no programa de fidelidade (Bronze, Prata, Ouro)</w:t>
      </w:r>
    </w:p>
    <w:p>
      <w:pPr>
        <w:pStyle w:val="ListParagraph"/>
        <w:numPr>
          <w:ilvl w:val="0"/>
          <w:numId w:val="1"/>
        </w:numPr>
        <w:spacing w:after="80" w:line="300"/>
      </w:pPr>
      <w:r>
        <w:rPr>
          <w:sz w:val="22"/>
          <w:szCs w:val="22"/>
        </w:rPr>
        <w:t xml:space="preserve">Ticket médio mensal</w:t>
      </w:r>
    </w:p>
    <w:p>
      <w:pPr>
        <w:pStyle w:val="ListParagraph"/>
        <w:numPr>
          <w:ilvl w:val="0"/>
          <w:numId w:val="1"/>
        </w:numPr>
        <w:spacing w:after="80" w:line="300"/>
      </w:pPr>
      <w:r>
        <w:rPr>
          <w:sz w:val="22"/>
          <w:szCs w:val="22"/>
        </w:rPr>
        <w:t xml:space="preserve">Forma de pagamento preferida</w:t>
      </w:r>
    </w:p>
    <w:p>
      <w:pPr>
        <w:pStyle w:val="ListParagraph"/>
        <w:numPr>
          <w:ilvl w:val="0"/>
          <w:numId w:val="1"/>
        </w:numPr>
        <w:spacing w:after="80" w:line="300"/>
      </w:pPr>
      <w:r>
        <w:rPr>
          <w:sz w:val="22"/>
          <w:szCs w:val="22"/>
        </w:rPr>
        <w:t xml:space="preserve">Número de reclamações registradas</w:t>
      </w:r>
    </w:p>
    <w:p>
      <w:pPr>
        <w:pStyle w:val="ListParagraph"/>
        <w:numPr>
          <w:ilvl w:val="0"/>
          <w:numId w:val="1"/>
        </w:numPr>
        <w:spacing w:after="80" w:line="300"/>
      </w:pPr>
      <w:r>
        <w:rPr>
          <w:sz w:val="22"/>
          <w:szCs w:val="22"/>
        </w:rPr>
        <w:t xml:space="preserve">Número de pedidos/reservas com no-show</w:t>
      </w:r>
    </w:p>
    <w:p>
      <w:pPr>
        <w:pStyle w:val="ListParagraph"/>
        <w:numPr>
          <w:ilvl w:val="0"/>
          <w:numId w:val="1"/>
        </w:numPr>
        <w:spacing w:after="80" w:line="300"/>
      </w:pPr>
      <w:r>
        <w:rPr>
          <w:sz w:val="22"/>
          <w:szCs w:val="22"/>
        </w:rPr>
        <w:t xml:space="preserve">Nota de satisfação declarada (1 a 5)</w:t>
      </w:r>
    </w:p>
    <w:p>
      <w:pPr>
        <w:pStyle w:val="Heading1"/>
        <w:spacing w:after="160" w:before="320"/>
      </w:pPr>
      <w:r>
        <w:rPr>
          <w:b/>
          <w:bCs/>
          <w:color w:val="1F4E78"/>
          <w:sz w:val="28"/>
          <w:szCs w:val="28"/>
        </w:rPr>
        <w:t xml:space="preserve">5. Metodologia</w:t>
      </w:r>
    </w:p>
    <w:p>
      <w:pPr>
        <w:spacing w:after="160" w:line="300"/>
      </w:pPr>
      <w:r>
        <w:rPr>
          <w:b w:val="false"/>
          <w:bCs w:val="false"/>
          <w:i w:val="false"/>
          <w:iCs w:val="false"/>
          <w:sz w:val="22"/>
          <w:szCs w:val="22"/>
        </w:rPr>
        <w:t xml:space="preserve">O notebook segue as sete etapas de um projeto de ciência de dados apresentadas em aula:</w:t>
      </w:r>
    </w:p>
    <w:p>
      <w:pPr>
        <w:pStyle w:val="ListParagraph"/>
        <w:numPr>
          <w:ilvl w:val="0"/>
          <w:numId w:val="1"/>
        </w:numPr>
        <w:spacing w:after="80" w:line="300"/>
      </w:pPr>
      <w:r>
        <w:rPr>
          <w:sz w:val="22"/>
          <w:szCs w:val="22"/>
        </w:rPr>
        <w:t xml:space="preserve">Diagnóstico de qualidade dos dados: identificação de valores ausentes, categorias inconsistentes, tipos de dado incorretos, datas em formatos diferentes, outliers e duplicidades.</w:t>
      </w:r>
    </w:p>
    <w:p>
      <w:pPr>
        <w:pStyle w:val="ListParagraph"/>
        <w:numPr>
          <w:ilvl w:val="0"/>
          <w:numId w:val="1"/>
        </w:numPr>
        <w:spacing w:after="80" w:line="300"/>
      </w:pPr>
      <w:r>
        <w:rPr>
          <w:sz w:val="22"/>
          <w:szCs w:val="22"/>
        </w:rPr>
        <w:t xml:space="preserve">Limpeza e pré-processamento: padronização de categorias, conversão de tipos, tratamento de outliers e imputação de valores ausentes (mediana para numéricas, moda para categóricas), com justificativa para cada decisão.</w:t>
      </w:r>
    </w:p>
    <w:p>
      <w:pPr>
        <w:pStyle w:val="ListParagraph"/>
        <w:numPr>
          <w:ilvl w:val="0"/>
          <w:numId w:val="1"/>
        </w:numPr>
        <w:spacing w:after="80" w:line="300"/>
      </w:pPr>
      <w:r>
        <w:rPr>
          <w:sz w:val="22"/>
          <w:szCs w:val="22"/>
        </w:rPr>
        <w:t xml:space="preserve">Análise exploratória: relação entre cada atributo e a variável-alvo, com gráficos.</w:t>
      </w:r>
    </w:p>
    <w:p>
      <w:pPr>
        <w:pStyle w:val="ListParagraph"/>
        <w:numPr>
          <w:ilvl w:val="0"/>
          <w:numId w:val="1"/>
        </w:numPr>
        <w:spacing w:after="80" w:line="300"/>
      </w:pPr>
      <w:r>
        <w:rPr>
          <w:sz w:val="22"/>
          <w:szCs w:val="22"/>
        </w:rPr>
        <w:t xml:space="preserve">Preparação para modelagem: separação treino/teste estratificada (80/20), padronização de variáveis numéricas, codificação one-hot de variáveis categóricas, validação cruzada estratificada (5-fold).</w:t>
      </w:r>
    </w:p>
    <w:p>
      <w:pPr>
        <w:pStyle w:val="ListParagraph"/>
        <w:numPr>
          <w:ilvl w:val="0"/>
          <w:numId w:val="1"/>
        </w:numPr>
        <w:spacing w:after="80" w:line="300"/>
      </w:pPr>
      <w:r>
        <w:rPr>
          <w:sz w:val="22"/>
          <w:szCs w:val="22"/>
        </w:rPr>
        <w:t xml:space="preserve">Modelagem: treinamento e otimização de hiperparâmetros (GridSearchCV) de três algoritmos — Regressão Logística, Random Forest e Gradient Boosting.</w:t>
      </w:r>
    </w:p>
    <w:p>
      <w:pPr>
        <w:pStyle w:val="ListParagraph"/>
        <w:numPr>
          <w:ilvl w:val="0"/>
          <w:numId w:val="1"/>
        </w:numPr>
        <w:spacing w:after="80" w:line="300"/>
      </w:pPr>
      <w:r>
        <w:rPr>
          <w:sz w:val="22"/>
          <w:szCs w:val="22"/>
        </w:rPr>
        <w:t xml:space="preserve">Avaliação: acurácia, precisão, revocação, F1-score e AUC-ROC no conjunto de teste; matriz de confusão com interpretação de negócio de cada tipo de erro; checagem de overfitting comparando desempenho de treino e de validação cruzada.</w:t>
      </w:r>
    </w:p>
    <w:p>
      <w:pPr>
        <w:pStyle w:val="ListParagraph"/>
        <w:numPr>
          <w:ilvl w:val="0"/>
          <w:numId w:val="1"/>
        </w:numPr>
        <w:spacing w:after="80" w:line="300"/>
      </w:pPr>
      <w:r>
        <w:rPr>
          <w:sz w:val="22"/>
          <w:szCs w:val="22"/>
        </w:rPr>
        <w:t xml:space="preserve">Apresentação dos resultados e conclusão: análise dos principais achados, pontos de atenção e recomendação do melhor modelo.</w:t>
      </w:r>
    </w:p>
    <w:p>
      <w:pPr>
        <w:pStyle w:val="Heading1"/>
        <w:spacing w:after="160" w:before="320"/>
      </w:pPr>
      <w:r>
        <w:rPr>
          <w:b/>
          <w:bCs/>
          <w:color w:val="1F4E78"/>
          <w:sz w:val="28"/>
          <w:szCs w:val="28"/>
        </w:rPr>
        <w:t xml:space="preserve">6. Principais resultados</w:t>
      </w:r>
    </w:p>
    <w:p>
      <w:pPr>
        <w:spacing w:after="160" w:line="300"/>
      </w:pPr>
      <w:r>
        <w:rPr>
          <w:b w:val="false"/>
          <w:bCs w:val="false"/>
          <w:i w:val="false"/>
          <w:iCs w:val="false"/>
          <w:sz w:val="22"/>
          <w:szCs w:val="22"/>
        </w:rPr>
        <w:t xml:space="preserve">Desempenho dos três modelos no conjunto de teste: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200"/>
        <w:gridCol w:w="1700"/>
      </w:tblGrid>
      <w:tr>
        <w:trPr>
          <w:tblHeader/>
        </w:trPr>
        <w:tc>
          <w:tcPr>
            <w:tcW w:type="dxa" w:w="2500"/>
            <w:shd w:fill="1F4E78" w:val="clear"/>
            <w:tcMar>
              <w:top w:type="dxa" w:w="80"/>
              <w:left w:type="dxa" w:w="100"/>
              <w:bottom w:type="dxa" w:w="80"/>
              <w:right w:type="dxa" w:w="100"/>
            </w:tcMar>
          </w:tcPr>
          <w:p>
            <w:r>
              <w:rPr>
                <w:b/>
                <w:bCs/>
                <w:color w:val="FFFFFF"/>
                <w:sz w:val="20"/>
                <w:szCs w:val="20"/>
              </w:rPr>
              <w:t xml:space="preserve">Modelo</w:t>
            </w:r>
          </w:p>
        </w:tc>
        <w:tc>
          <w:tcPr>
            <w:tcW w:type="dxa" w:w="2500"/>
            <w:shd w:fill="1F4E78" w:val="clear"/>
            <w:tcMar>
              <w:top w:type="dxa" w:w="80"/>
              <w:left w:type="dxa" w:w="100"/>
              <w:bottom w:type="dxa" w:w="80"/>
              <w:right w:type="dxa" w:w="100"/>
            </w:tcMar>
          </w:tcPr>
          <w:p>
            <w:r>
              <w:rPr>
                <w:b/>
                <w:bCs/>
                <w:color w:val="FFFFFF"/>
                <w:sz w:val="20"/>
                <w:szCs w:val="20"/>
              </w:rPr>
              <w:t xml:space="preserve">Acurácia</w:t>
            </w:r>
          </w:p>
        </w:tc>
        <w:tc>
          <w:tcPr>
            <w:tcW w:type="dxa" w:w="2500"/>
            <w:shd w:fill="1F4E78" w:val="clear"/>
            <w:tcMar>
              <w:top w:type="dxa" w:w="80"/>
              <w:left w:type="dxa" w:w="100"/>
              <w:bottom w:type="dxa" w:w="80"/>
              <w:right w:type="dxa" w:w="100"/>
            </w:tcMar>
          </w:tcPr>
          <w:p>
            <w:r>
              <w:rPr>
                <w:b/>
                <w:bCs/>
                <w:color w:val="FFFFFF"/>
                <w:sz w:val="20"/>
                <w:szCs w:val="20"/>
              </w:rPr>
              <w:t xml:space="preserve">Precisão</w:t>
            </w:r>
          </w:p>
        </w:tc>
        <w:tc>
          <w:tcPr>
            <w:tcW w:type="dxa" w:w="2500"/>
            <w:shd w:fill="1F4E78" w:val="clear"/>
            <w:tcMar>
              <w:top w:type="dxa" w:w="80"/>
              <w:left w:type="dxa" w:w="100"/>
              <w:bottom w:type="dxa" w:w="80"/>
              <w:right w:type="dxa" w:w="100"/>
            </w:tcMar>
          </w:tcPr>
          <w:p>
            <w:r>
              <w:rPr>
                <w:b/>
                <w:bCs/>
                <w:color w:val="FFFFFF"/>
                <w:sz w:val="20"/>
                <w:szCs w:val="20"/>
              </w:rPr>
              <w:t xml:space="preserve">Revocação</w:t>
            </w:r>
          </w:p>
        </w:tc>
        <w:tc>
          <w:tcPr>
            <w:tcW w:type="dxa" w:w="2500"/>
            <w:shd w:fill="1F4E78" w:val="clear"/>
            <w:tcMar>
              <w:top w:type="dxa" w:w="80"/>
              <w:left w:type="dxa" w:w="100"/>
              <w:bottom w:type="dxa" w:w="80"/>
              <w:right w:type="dxa" w:w="100"/>
            </w:tcMar>
          </w:tcPr>
          <w:p>
            <w:r>
              <w:rPr>
                <w:b/>
                <w:bCs/>
                <w:color w:val="FFFFFF"/>
                <w:sz w:val="20"/>
                <w:szCs w:val="20"/>
              </w:rPr>
              <w:t xml:space="preserve">F1</w:t>
            </w:r>
          </w:p>
        </w:tc>
        <w:tc>
          <w:tcPr>
            <w:tcW w:type="dxa" w:w="2500"/>
            <w:shd w:fill="1F4E78" w:val="clear"/>
            <w:tcMar>
              <w:top w:type="dxa" w:w="80"/>
              <w:left w:type="dxa" w:w="100"/>
              <w:bottom w:type="dxa" w:w="80"/>
              <w:right w:type="dxa" w:w="100"/>
            </w:tcMar>
          </w:tcPr>
          <w:p>
            <w:r>
              <w:rPr>
                <w:b/>
                <w:bCs/>
                <w:color w:val="FFFFFF"/>
                <w:sz w:val="20"/>
                <w:szCs w:val="20"/>
              </w:rPr>
              <w:t xml:space="preserve">AUC-ROC</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Regressão Logística</w:t>
            </w:r>
          </w:p>
        </w:tc>
        <w:tc>
          <w:tcPr>
            <w:tcW w:type="dxa" w:w="2500"/>
            <w:tcMar>
              <w:top w:type="dxa" w:w="80"/>
              <w:left w:type="dxa" w:w="100"/>
              <w:bottom w:type="dxa" w:w="80"/>
              <w:right w:type="dxa" w:w="100"/>
            </w:tcMar>
          </w:tcPr>
          <w:p>
            <w:r>
              <w:rPr>
                <w:b w:val="false"/>
                <w:bCs w:val="false"/>
                <w:color w:val="000000"/>
                <w:sz w:val="20"/>
                <w:szCs w:val="20"/>
              </w:rPr>
              <w:t xml:space="preserve">0,832</w:t>
            </w:r>
          </w:p>
        </w:tc>
        <w:tc>
          <w:tcPr>
            <w:tcW w:type="dxa" w:w="2500"/>
            <w:tcMar>
              <w:top w:type="dxa" w:w="80"/>
              <w:left w:type="dxa" w:w="100"/>
              <w:bottom w:type="dxa" w:w="80"/>
              <w:right w:type="dxa" w:w="100"/>
            </w:tcMar>
          </w:tcPr>
          <w:p>
            <w:r>
              <w:rPr>
                <w:b w:val="false"/>
                <w:bCs w:val="false"/>
                <w:color w:val="000000"/>
                <w:sz w:val="20"/>
                <w:szCs w:val="20"/>
              </w:rPr>
              <w:t xml:space="preserve">0,839</w:t>
            </w:r>
          </w:p>
        </w:tc>
        <w:tc>
          <w:tcPr>
            <w:tcW w:type="dxa" w:w="2500"/>
            <w:tcMar>
              <w:top w:type="dxa" w:w="80"/>
              <w:left w:type="dxa" w:w="100"/>
              <w:bottom w:type="dxa" w:w="80"/>
              <w:right w:type="dxa" w:w="100"/>
            </w:tcMar>
          </w:tcPr>
          <w:p>
            <w:r>
              <w:rPr>
                <w:b w:val="false"/>
                <w:bCs w:val="false"/>
                <w:color w:val="000000"/>
                <w:sz w:val="20"/>
                <w:szCs w:val="20"/>
              </w:rPr>
              <w:t xml:space="preserve">0,448</w:t>
            </w:r>
          </w:p>
        </w:tc>
        <w:tc>
          <w:tcPr>
            <w:tcW w:type="dxa" w:w="2500"/>
            <w:tcMar>
              <w:top w:type="dxa" w:w="80"/>
              <w:left w:type="dxa" w:w="100"/>
              <w:bottom w:type="dxa" w:w="80"/>
              <w:right w:type="dxa" w:w="100"/>
            </w:tcMar>
          </w:tcPr>
          <w:p>
            <w:r>
              <w:rPr>
                <w:b w:val="false"/>
                <w:bCs w:val="false"/>
                <w:color w:val="000000"/>
                <w:sz w:val="20"/>
                <w:szCs w:val="20"/>
              </w:rPr>
              <w:t xml:space="preserve">0,584</w:t>
            </w:r>
          </w:p>
        </w:tc>
        <w:tc>
          <w:tcPr>
            <w:tcW w:type="dxa" w:w="2500"/>
            <w:tcMar>
              <w:top w:type="dxa" w:w="80"/>
              <w:left w:type="dxa" w:w="100"/>
              <w:bottom w:type="dxa" w:w="80"/>
              <w:right w:type="dxa" w:w="100"/>
            </w:tcMar>
          </w:tcPr>
          <w:p>
            <w:r>
              <w:rPr>
                <w:b w:val="false"/>
                <w:bCs w:val="false"/>
                <w:color w:val="000000"/>
                <w:sz w:val="20"/>
                <w:szCs w:val="20"/>
              </w:rPr>
              <w:t xml:space="preserve">0,777</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Random Forest</w:t>
            </w:r>
          </w:p>
        </w:tc>
        <w:tc>
          <w:tcPr>
            <w:tcW w:type="dxa" w:w="2500"/>
            <w:tcMar>
              <w:top w:type="dxa" w:w="80"/>
              <w:left w:type="dxa" w:w="100"/>
              <w:bottom w:type="dxa" w:w="80"/>
              <w:right w:type="dxa" w:w="100"/>
            </w:tcMar>
          </w:tcPr>
          <w:p>
            <w:r>
              <w:rPr>
                <w:b w:val="false"/>
                <w:bCs w:val="false"/>
                <w:color w:val="000000"/>
                <w:sz w:val="20"/>
                <w:szCs w:val="20"/>
              </w:rPr>
              <w:t xml:space="preserve">0,773</w:t>
            </w:r>
          </w:p>
        </w:tc>
        <w:tc>
          <w:tcPr>
            <w:tcW w:type="dxa" w:w="2500"/>
            <w:tcMar>
              <w:top w:type="dxa" w:w="80"/>
              <w:left w:type="dxa" w:w="100"/>
              <w:bottom w:type="dxa" w:w="80"/>
              <w:right w:type="dxa" w:w="100"/>
            </w:tcMar>
          </w:tcPr>
          <w:p>
            <w:r>
              <w:rPr>
                <w:b w:val="false"/>
                <w:bCs w:val="false"/>
                <w:color w:val="000000"/>
                <w:sz w:val="20"/>
                <w:szCs w:val="20"/>
              </w:rPr>
              <w:t xml:space="preserve">0,611</w:t>
            </w:r>
          </w:p>
        </w:tc>
        <w:tc>
          <w:tcPr>
            <w:tcW w:type="dxa" w:w="2500"/>
            <w:tcMar>
              <w:top w:type="dxa" w:w="80"/>
              <w:left w:type="dxa" w:w="100"/>
              <w:bottom w:type="dxa" w:w="80"/>
              <w:right w:type="dxa" w:w="100"/>
            </w:tcMar>
          </w:tcPr>
          <w:p>
            <w:r>
              <w:rPr>
                <w:b w:val="false"/>
                <w:bCs w:val="false"/>
                <w:color w:val="000000"/>
                <w:sz w:val="20"/>
                <w:szCs w:val="20"/>
              </w:rPr>
              <w:t xml:space="preserve">0,379</w:t>
            </w:r>
          </w:p>
        </w:tc>
        <w:tc>
          <w:tcPr>
            <w:tcW w:type="dxa" w:w="2500"/>
            <w:tcMar>
              <w:top w:type="dxa" w:w="80"/>
              <w:left w:type="dxa" w:w="100"/>
              <w:bottom w:type="dxa" w:w="80"/>
              <w:right w:type="dxa" w:w="100"/>
            </w:tcMar>
          </w:tcPr>
          <w:p>
            <w:r>
              <w:rPr>
                <w:b w:val="false"/>
                <w:bCs w:val="false"/>
                <w:color w:val="000000"/>
                <w:sz w:val="20"/>
                <w:szCs w:val="20"/>
              </w:rPr>
              <w:t xml:space="preserve">0,468</w:t>
            </w:r>
          </w:p>
        </w:tc>
        <w:tc>
          <w:tcPr>
            <w:tcW w:type="dxa" w:w="2500"/>
            <w:tcMar>
              <w:top w:type="dxa" w:w="80"/>
              <w:left w:type="dxa" w:w="100"/>
              <w:bottom w:type="dxa" w:w="80"/>
              <w:right w:type="dxa" w:w="100"/>
            </w:tcMar>
          </w:tcPr>
          <w:p>
            <w:r>
              <w:rPr>
                <w:b w:val="false"/>
                <w:bCs w:val="false"/>
                <w:color w:val="000000"/>
                <w:sz w:val="20"/>
                <w:szCs w:val="20"/>
              </w:rPr>
              <w:t xml:space="preserve">0,794</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Gradient Boosting</w:t>
            </w:r>
          </w:p>
        </w:tc>
        <w:tc>
          <w:tcPr>
            <w:tcW w:type="dxa" w:w="2500"/>
            <w:tcMar>
              <w:top w:type="dxa" w:w="80"/>
              <w:left w:type="dxa" w:w="100"/>
              <w:bottom w:type="dxa" w:w="80"/>
              <w:right w:type="dxa" w:w="100"/>
            </w:tcMar>
          </w:tcPr>
          <w:p>
            <w:r>
              <w:rPr>
                <w:b w:val="false"/>
                <w:bCs w:val="false"/>
                <w:color w:val="000000"/>
                <w:sz w:val="20"/>
                <w:szCs w:val="20"/>
              </w:rPr>
              <w:t xml:space="preserve">0,791</w:t>
            </w:r>
          </w:p>
        </w:tc>
        <w:tc>
          <w:tcPr>
            <w:tcW w:type="dxa" w:w="2500"/>
            <w:tcMar>
              <w:top w:type="dxa" w:w="80"/>
              <w:left w:type="dxa" w:w="100"/>
              <w:bottom w:type="dxa" w:w="80"/>
              <w:right w:type="dxa" w:w="100"/>
            </w:tcMar>
          </w:tcPr>
          <w:p>
            <w:r>
              <w:rPr>
                <w:b w:val="false"/>
                <w:bCs w:val="false"/>
                <w:color w:val="000000"/>
                <w:sz w:val="20"/>
                <w:szCs w:val="20"/>
              </w:rPr>
              <w:t xml:space="preserve">0,650</w:t>
            </w:r>
          </w:p>
        </w:tc>
        <w:tc>
          <w:tcPr>
            <w:tcW w:type="dxa" w:w="2500"/>
            <w:tcMar>
              <w:top w:type="dxa" w:w="80"/>
              <w:left w:type="dxa" w:w="100"/>
              <w:bottom w:type="dxa" w:w="80"/>
              <w:right w:type="dxa" w:w="100"/>
            </w:tcMar>
          </w:tcPr>
          <w:p>
            <w:r>
              <w:rPr>
                <w:b w:val="false"/>
                <w:bCs w:val="false"/>
                <w:color w:val="000000"/>
                <w:sz w:val="20"/>
                <w:szCs w:val="20"/>
              </w:rPr>
              <w:t xml:space="preserve">0,448</w:t>
            </w:r>
          </w:p>
        </w:tc>
        <w:tc>
          <w:tcPr>
            <w:tcW w:type="dxa" w:w="2500"/>
            <w:tcMar>
              <w:top w:type="dxa" w:w="80"/>
              <w:left w:type="dxa" w:w="100"/>
              <w:bottom w:type="dxa" w:w="80"/>
              <w:right w:type="dxa" w:w="100"/>
            </w:tcMar>
          </w:tcPr>
          <w:p>
            <w:r>
              <w:rPr>
                <w:b w:val="false"/>
                <w:bCs w:val="false"/>
                <w:color w:val="000000"/>
                <w:sz w:val="20"/>
                <w:szCs w:val="20"/>
              </w:rPr>
              <w:t xml:space="preserve">0,531</w:t>
            </w:r>
          </w:p>
        </w:tc>
        <w:tc>
          <w:tcPr>
            <w:tcW w:type="dxa" w:w="2500"/>
            <w:tcMar>
              <w:top w:type="dxa" w:w="80"/>
              <w:left w:type="dxa" w:w="100"/>
              <w:bottom w:type="dxa" w:w="80"/>
              <w:right w:type="dxa" w:w="100"/>
            </w:tcMar>
          </w:tcPr>
          <w:p>
            <w:r>
              <w:rPr>
                <w:b w:val="false"/>
                <w:bCs w:val="false"/>
                <w:color w:val="000000"/>
                <w:sz w:val="20"/>
                <w:szCs w:val="20"/>
              </w:rPr>
              <w:t xml:space="preserve">0,773</w:t>
            </w:r>
          </w:p>
        </w:tc>
      </w:tr>
    </w:tbl>
    <w:p>
      <w:pPr>
        <w:spacing w:before="200"/>
      </w:pPr>
    </w:p>
    <w:p>
      <w:pPr>
        <w:spacing w:after="160" w:line="300"/>
      </w:pPr>
      <w:r>
        <w:rPr>
          <w:b w:val="false"/>
          <w:bCs w:val="false"/>
          <w:i w:val="false"/>
          <w:iCs w:val="false"/>
          <w:sz w:val="22"/>
          <w:szCs w:val="22"/>
        </w:rPr>
        <w:t xml:space="preserve">Checagem de overfitting (F1 no treino completo x F1 médio em validação cruzada):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rPr>
          <w:tblHeader/>
        </w:trPr>
        <w:tc>
          <w:tcPr>
            <w:tcW w:type="dxa" w:w="2500"/>
            <w:shd w:fill="1F4E78" w:val="clear"/>
            <w:tcMar>
              <w:top w:type="dxa" w:w="80"/>
              <w:left w:type="dxa" w:w="100"/>
              <w:bottom w:type="dxa" w:w="80"/>
              <w:right w:type="dxa" w:w="100"/>
            </w:tcMar>
          </w:tcPr>
          <w:p>
            <w:r>
              <w:rPr>
                <w:b/>
                <w:bCs/>
                <w:color w:val="FFFFFF"/>
                <w:sz w:val="20"/>
                <w:szCs w:val="20"/>
              </w:rPr>
              <w:t xml:space="preserve">Modelo</w:t>
            </w:r>
          </w:p>
        </w:tc>
        <w:tc>
          <w:tcPr>
            <w:tcW w:type="dxa" w:w="2500"/>
            <w:shd w:fill="1F4E78" w:val="clear"/>
            <w:tcMar>
              <w:top w:type="dxa" w:w="80"/>
              <w:left w:type="dxa" w:w="100"/>
              <w:bottom w:type="dxa" w:w="80"/>
              <w:right w:type="dxa" w:w="100"/>
            </w:tcMar>
          </w:tcPr>
          <w:p>
            <w:r>
              <w:rPr>
                <w:b/>
                <w:bCs/>
                <w:color w:val="FFFFFF"/>
                <w:sz w:val="20"/>
                <w:szCs w:val="20"/>
              </w:rPr>
              <w:t xml:space="preserve">F1 — treino completo</w:t>
            </w:r>
          </w:p>
        </w:tc>
        <w:tc>
          <w:tcPr>
            <w:tcW w:type="dxa" w:w="2500"/>
            <w:shd w:fill="1F4E78" w:val="clear"/>
            <w:tcMar>
              <w:top w:type="dxa" w:w="80"/>
              <w:left w:type="dxa" w:w="100"/>
              <w:bottom w:type="dxa" w:w="80"/>
              <w:right w:type="dxa" w:w="100"/>
            </w:tcMar>
          </w:tcPr>
          <w:p>
            <w:r>
              <w:rPr>
                <w:b/>
                <w:bCs/>
                <w:color w:val="FFFFFF"/>
                <w:sz w:val="20"/>
                <w:szCs w:val="20"/>
              </w:rPr>
              <w:t xml:space="preserve">F1 médio — validação cruzada</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Regressão Logística</w:t>
            </w:r>
          </w:p>
        </w:tc>
        <w:tc>
          <w:tcPr>
            <w:tcW w:type="dxa" w:w="2500"/>
            <w:tcMar>
              <w:top w:type="dxa" w:w="80"/>
              <w:left w:type="dxa" w:w="100"/>
              <w:bottom w:type="dxa" w:w="80"/>
              <w:right w:type="dxa" w:w="100"/>
            </w:tcMar>
          </w:tcPr>
          <w:p>
            <w:r>
              <w:rPr>
                <w:b w:val="false"/>
                <w:bCs w:val="false"/>
                <w:color w:val="000000"/>
                <w:sz w:val="20"/>
                <w:szCs w:val="20"/>
              </w:rPr>
              <w:t xml:space="preserve">0,519</w:t>
            </w:r>
          </w:p>
        </w:tc>
        <w:tc>
          <w:tcPr>
            <w:tcW w:type="dxa" w:w="2500"/>
            <w:tcMar>
              <w:top w:type="dxa" w:w="80"/>
              <w:left w:type="dxa" w:w="100"/>
              <w:bottom w:type="dxa" w:w="80"/>
              <w:right w:type="dxa" w:w="100"/>
            </w:tcMar>
          </w:tcPr>
          <w:p>
            <w:r>
              <w:rPr>
                <w:b w:val="false"/>
                <w:bCs w:val="false"/>
                <w:color w:val="000000"/>
                <w:sz w:val="20"/>
                <w:szCs w:val="20"/>
              </w:rPr>
              <w:t xml:space="preserve">0,517</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Random Forest</w:t>
            </w:r>
          </w:p>
        </w:tc>
        <w:tc>
          <w:tcPr>
            <w:tcW w:type="dxa" w:w="2500"/>
            <w:tcMar>
              <w:top w:type="dxa" w:w="80"/>
              <w:left w:type="dxa" w:w="100"/>
              <w:bottom w:type="dxa" w:w="80"/>
              <w:right w:type="dxa" w:w="100"/>
            </w:tcMar>
          </w:tcPr>
          <w:p>
            <w:r>
              <w:rPr>
                <w:b w:val="false"/>
                <w:bCs w:val="false"/>
                <w:color w:val="000000"/>
                <w:sz w:val="20"/>
                <w:szCs w:val="20"/>
              </w:rPr>
              <w:t xml:space="preserve">1,000</w:t>
            </w:r>
          </w:p>
        </w:tc>
        <w:tc>
          <w:tcPr>
            <w:tcW w:type="dxa" w:w="2500"/>
            <w:tcMar>
              <w:top w:type="dxa" w:w="80"/>
              <w:left w:type="dxa" w:w="100"/>
              <w:bottom w:type="dxa" w:w="80"/>
              <w:right w:type="dxa" w:w="100"/>
            </w:tcMar>
          </w:tcPr>
          <w:p>
            <w:r>
              <w:rPr>
                <w:b w:val="false"/>
                <w:bCs w:val="false"/>
                <w:color w:val="000000"/>
                <w:sz w:val="20"/>
                <w:szCs w:val="20"/>
              </w:rPr>
              <w:t xml:space="preserve">0,495</w:t>
            </w:r>
          </w:p>
        </w:tc>
      </w:tr>
      <w:tr>
        <w:trPr>
          <w:tblHeader w:val="false"/>
        </w:trPr>
        <w:tc>
          <w:tcPr>
            <w:tcW w:type="dxa" w:w="2500"/>
            <w:tcMar>
              <w:top w:type="dxa" w:w="80"/>
              <w:left w:type="dxa" w:w="100"/>
              <w:bottom w:type="dxa" w:w="80"/>
              <w:right w:type="dxa" w:w="100"/>
            </w:tcMar>
          </w:tcPr>
          <w:p>
            <w:r>
              <w:rPr>
                <w:b w:val="false"/>
                <w:bCs w:val="false"/>
                <w:color w:val="000000"/>
                <w:sz w:val="20"/>
                <w:szCs w:val="20"/>
              </w:rPr>
              <w:t xml:space="preserve">Gradient Boosting</w:t>
            </w:r>
          </w:p>
        </w:tc>
        <w:tc>
          <w:tcPr>
            <w:tcW w:type="dxa" w:w="2500"/>
            <w:tcMar>
              <w:top w:type="dxa" w:w="80"/>
              <w:left w:type="dxa" w:w="100"/>
              <w:bottom w:type="dxa" w:w="80"/>
              <w:right w:type="dxa" w:w="100"/>
            </w:tcMar>
          </w:tcPr>
          <w:p>
            <w:r>
              <w:rPr>
                <w:b w:val="false"/>
                <w:bCs w:val="false"/>
                <w:color w:val="000000"/>
                <w:sz w:val="20"/>
                <w:szCs w:val="20"/>
              </w:rPr>
              <w:t xml:space="preserve">0,730</w:t>
            </w:r>
          </w:p>
        </w:tc>
        <w:tc>
          <w:tcPr>
            <w:tcW w:type="dxa" w:w="2500"/>
            <w:tcMar>
              <w:top w:type="dxa" w:w="80"/>
              <w:left w:type="dxa" w:w="100"/>
              <w:bottom w:type="dxa" w:w="80"/>
              <w:right w:type="dxa" w:w="100"/>
            </w:tcMar>
          </w:tcPr>
          <w:p>
            <w:r>
              <w:rPr>
                <w:b w:val="false"/>
                <w:bCs w:val="false"/>
                <w:color w:val="000000"/>
                <w:sz w:val="20"/>
                <w:szCs w:val="20"/>
              </w:rPr>
              <w:t xml:space="preserve">0,551</w:t>
            </w:r>
          </w:p>
        </w:tc>
      </w:tr>
    </w:tbl>
    <w:p>
      <w:pPr>
        <w:spacing w:before="200"/>
      </w:pPr>
    </w:p>
    <w:p>
      <w:pPr>
        <w:spacing w:after="160" w:line="300"/>
      </w:pPr>
      <w:r>
        <w:rPr>
          <w:b w:val="false"/>
          <w:bCs w:val="false"/>
          <w:i w:val="false"/>
          <w:iCs w:val="false"/>
          <w:sz w:val="22"/>
          <w:szCs w:val="22"/>
        </w:rPr>
        <w:t xml:space="preserve">A Regressão Logística apresentou o melhor F1-score no teste (0,584) e foi a única a não apresentar overfitting relevante — seu desempenho de treino e de validação cruzada praticamente coincidem. O Random Forest, apesar de um AUC-ROC nominalmente mais alto (0,794), memorizou quase perfeitamente o conjunto de treino (F1 = 1,000) e caiu para 0,495 em validação cruzada, evidenciando que esse resultado de teste não é confiável para generalização. Por esse motivo, a Regressão Logística foi recomendada como a solução final: além de generalizar melhor, é um modelo linear facilmente interpretável, o que facilita a explicação dos resultados e o desenho de ações de retenção direcionadas.</w:t>
      </w:r>
    </w:p>
    <w:p>
      <w:pPr>
        <w:spacing w:after="160" w:line="300"/>
      </w:pPr>
      <w:r>
        <w:rPr>
          <w:b w:val="false"/>
          <w:bCs w:val="false"/>
          <w:i w:val="false"/>
          <w:iCs w:val="false"/>
          <w:sz w:val="22"/>
          <w:szCs w:val="22"/>
        </w:rPr>
        <w:t xml:space="preserve">O erro mais relevante para o negócio, em qualquer um dos modelos, é o falso negativo: um cliente que de fato vai ficar inativo, mas que o modelo classifica como "continuará ativo" — nesse caso, perde-se a janela de oportunidade para uma ação de retenção. O falso positivo (ação de retenção direcionada a um cliente que permaneceria ativo de qualquer forma) tem um custo menor, mais próximo do custo operacional de uma oferta não estritamente necessária.</w:t>
      </w:r>
    </w:p>
    <w:p>
      <w:pPr>
        <w:pStyle w:val="Heading1"/>
        <w:spacing w:after="160" w:before="320"/>
      </w:pPr>
      <w:r>
        <w:rPr>
          <w:b/>
          <w:bCs/>
          <w:color w:val="1F4E78"/>
          <w:sz w:val="28"/>
          <w:szCs w:val="28"/>
        </w:rPr>
        <w:t xml:space="preserve">7. Entrega e links</w:t>
      </w:r>
    </w:p>
    <w:p>
      <w:pPr>
        <w:spacing w:after="160" w:line="300"/>
      </w:pPr>
      <w:r>
        <w:rPr>
          <w:b/>
          <w:bCs/>
          <w:i w:val="false"/>
          <w:iCs w:val="false"/>
          <w:sz w:val="22"/>
          <w:szCs w:val="22"/>
        </w:rPr>
        <w:t xml:space="preserve">Notebook público no Google Colab:</w:t>
      </w:r>
    </w:p>
    <w:p>
      <w:pPr>
        <w:spacing w:after="160" w:line="300"/>
      </w:pPr>
      <w:r>
        <w:rPr>
          <w:b w:val="false"/>
          <w:bCs w:val="false"/>
          <w:i/>
          <w:iCs/>
          <w:sz w:val="22"/>
          <w:szCs w:val="22"/>
        </w:rPr>
        <w:t xml:space="preserve">[inserir aqui o link do notebook após publicação no Colab]</w:t>
      </w:r>
    </w:p>
    <w:p>
      <w:pPr>
        <w:spacing w:after="160" w:line="300"/>
      </w:pPr>
      <w:r>
        <w:rPr>
          <w:b/>
          <w:bCs/>
          <w:i w:val="false"/>
          <w:iCs w:val="false"/>
          <w:sz w:val="22"/>
          <w:szCs w:val="22"/>
        </w:rPr>
        <w:t xml:space="preserve">Repositório no GitHub:</w:t>
      </w:r>
    </w:p>
    <w:p>
      <w:pPr>
        <w:spacing w:after="160" w:line="300"/>
      </w:pPr>
      <w:r>
        <w:rPr>
          <w:b w:val="false"/>
          <w:bCs w:val="false"/>
          <w:i/>
          <w:iCs/>
          <w:sz w:val="22"/>
          <w:szCs w:val="22"/>
        </w:rPr>
        <w:t xml:space="preserve">[inserir aqui o link do repositório no GitHub]</w:t>
      </w:r>
    </w:p>
    <w:p>
      <w:pPr>
        <w:pStyle w:val="Heading1"/>
        <w:spacing w:after="160" w:before="320"/>
      </w:pPr>
      <w:r>
        <w:rPr>
          <w:b/>
          <w:bCs/>
          <w:color w:val="1F4E78"/>
          <w:sz w:val="28"/>
          <w:szCs w:val="28"/>
        </w:rPr>
        <w:t xml:space="preserve">8. Considerações finais</w:t>
      </w:r>
    </w:p>
    <w:p>
      <w:pPr>
        <w:spacing w:after="160" w:line="300"/>
      </w:pPr>
      <w:r>
        <w:rPr>
          <w:b w:val="false"/>
          <w:bCs w:val="false"/>
          <w:i w:val="false"/>
          <w:iCs w:val="false"/>
          <w:sz w:val="22"/>
          <w:szCs w:val="22"/>
        </w:rPr>
        <w:t xml:space="preserve">Este MVP buscou aplicar o ciclo completo de um projeto de ciência de dados a um problema real do setor de restaurantes, com atenção tanto ao rigor técnico (limpeza de dados, comparação de modelos, checagem de overfitting) quanto à responsabilidade no tratamento de dados de clientes, alinhada aos princípios da LGPD. Fico à disposição para esclarecer qualquer ponto sobre a origem dos dados ou sobre as decisões metodológicas tomadas.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2026-09-09T19:42:59.914Z</dcterms:created>
  <dcterms:modified xsi:type="dcterms:W3CDTF">2026-09-09T19:42:59.914Z</dcterms:modified>
</cp:coreProperties>
</file>

<file path=docProps/custom.xml><?xml version="1.0" encoding="utf-8"?>
<Properties xmlns="http://schemas.openxmlformats.org/officeDocument/2006/custom-properties" xmlns:vt="http://schemas.openxmlformats.org/officeDocument/2006/docPropsVTypes"/>
</file>