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                                                    laboratorio 32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punto 1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86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punto 2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a) ¿Cuáles fueron los grupos demográficos más afectados por el COVID-19 en términos de mortalidad?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b) ¿Cómo varió el número de fallecimientos a lo largo del tiempo, y qué factores podrían haber contribuido a los picos observados?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c) ¿Cuáles son las principales recomendaciones para mejorar la respuesta a futuras crisis sanitarias basadas en el análisis de mortalidad por COVID-19?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14ra6uuksug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a) Grupos demográficos más afectados por el COVID-19 en términos de mortalidad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Los grupos demográficos más afectados por el COVID-19 en términos de mortalidad incluyen: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Personas mayores</w:t>
      </w:r>
      <w:r w:rsidDel="00000000" w:rsidR="00000000" w:rsidRPr="00000000">
        <w:rPr>
          <w:rtl w:val="0"/>
        </w:rPr>
        <w:t xml:space="preserve">: Los adultos mayores, especialmente aquellos con más de 65 años, han sido los más afectados debido a la mayor prevalencia de comorbilidades y un sistema inmunológico más débil.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Personas con comorbilidades</w:t>
      </w:r>
      <w:r w:rsidDel="00000000" w:rsidR="00000000" w:rsidRPr="00000000">
        <w:rPr>
          <w:rtl w:val="0"/>
        </w:rPr>
        <w:t xml:space="preserve">: Aquellos con enfermedades crónicas como diabetes, hipertensión, enfermedades cardíacas, y obesidad han tenido un mayor riesgo de complicaciones graves y muerte.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Personas en situaciones socioeconómicas vulnerables</w:t>
      </w:r>
      <w:r w:rsidDel="00000000" w:rsidR="00000000" w:rsidRPr="00000000">
        <w:rPr>
          <w:rtl w:val="0"/>
        </w:rPr>
        <w:t xml:space="preserve">: Las personas con bajos ingresos, viviendo en condiciones de hacinamiento y con acceso limitado a servicios de salud, han enfrentado mayores riesgos de contagio y muerte.</w:t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ujymuxkjj42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b) Variación del número de fallecimientos a lo largo del tiempo y factores contribuyentes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número de fallecimientos por COVID-19 ha variado significativamente a lo largo del tiempo, con picos y caídas en diferentes momentos. Algunos factores que podrían haber contribuido a estos picos incluyen: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Variaciones en la transmisibilidad del virus</w:t>
      </w:r>
      <w:r w:rsidDel="00000000" w:rsidR="00000000" w:rsidRPr="00000000">
        <w:rPr>
          <w:rtl w:val="0"/>
        </w:rPr>
        <w:t xml:space="preserve">: Las mutaciones del virus, como las variantes Delta y Omicron, han aumentado la transmisibilidad, lo que ha llevado a picos en el número de casos y muertes.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Capacidad del sistema de salud</w:t>
      </w:r>
      <w:r w:rsidDel="00000000" w:rsidR="00000000" w:rsidRPr="00000000">
        <w:rPr>
          <w:rtl w:val="0"/>
        </w:rPr>
        <w:t xml:space="preserve">: En momentos de alta demanda, los sistemas de salud pueden estar sobrecargados, lo que afecta la calidad de la atención y aumenta la mortalidad.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Medidas de control y mitigación</w:t>
      </w:r>
      <w:r w:rsidDel="00000000" w:rsidR="00000000" w:rsidRPr="00000000">
        <w:rPr>
          <w:rtl w:val="0"/>
        </w:rPr>
        <w:t xml:space="preserve">: La implementación y el cumplimiento de medidas como el uso de mascarillas, cuarentenas, y la vacunación han influido en la reducción de picos.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Comportamiento de la población</w:t>
      </w:r>
      <w:r w:rsidDel="00000000" w:rsidR="00000000" w:rsidRPr="00000000">
        <w:rPr>
          <w:rtl w:val="0"/>
        </w:rPr>
        <w:t xml:space="preserve">: Las actividades sociales y la movilidad pueden aumentar la propagación del virus, contribuyendo a picos en la mortalidad.</w:t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c84b9mwu6jh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c) Recomendaciones para mejorar la respuesta a futuras crisis sanitarias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Basado en el análisis de la mortalidad por COVID-19, algunas recomendaciones para mejorar la respuesta a futuras crisis sanitarias incluyen: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Fortalecimiento de los sistemas de salud</w:t>
      </w:r>
      <w:r w:rsidDel="00000000" w:rsidR="00000000" w:rsidRPr="00000000">
        <w:rPr>
          <w:rtl w:val="0"/>
        </w:rPr>
        <w:t xml:space="preserve">: Asegurar que los sistemas de salud tengan la capacidad y los recursos necesarios para manejar una alta demanda.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Acceso equitativo a la atención médica</w:t>
      </w:r>
      <w:r w:rsidDel="00000000" w:rsidR="00000000" w:rsidRPr="00000000">
        <w:rPr>
          <w:rtl w:val="0"/>
        </w:rPr>
        <w:t xml:space="preserve">: Garantizar que todas las personas, independientemente de su situación socioeconómica, tengan acceso a servicios de salud de calidad.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Promoción de la vacunación</w:t>
      </w:r>
      <w:r w:rsidDel="00000000" w:rsidR="00000000" w:rsidRPr="00000000">
        <w:rPr>
          <w:rtl w:val="0"/>
        </w:rPr>
        <w:t xml:space="preserve">: Implementar campañas de vacunación amplias y efectivas para proteger a la población.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Educación y comunicación</w:t>
      </w:r>
      <w:r w:rsidDel="00000000" w:rsidR="00000000" w:rsidRPr="00000000">
        <w:rPr>
          <w:rtl w:val="0"/>
        </w:rPr>
        <w:t xml:space="preserve">: Informar a la población sobre las medidas de prevención y la importancia de seguir las recomendaciones de salud pública.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Preparación y planificación</w:t>
      </w:r>
      <w:r w:rsidDel="00000000" w:rsidR="00000000" w:rsidRPr="00000000">
        <w:rPr>
          <w:rtl w:val="0"/>
        </w:rPr>
        <w:t xml:space="preserve">: Desarrollar planes de contingencia y realizar simulacros para estar mejor preparados para futuras crisis sanitarias.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305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0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