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Ficha de marca — Software de facturación para pymes</w:t>
      </w:r>
    </w:p>
    <w:p>
      <w:pPr>
        <w:pStyle w:val="Cita"/>
      </w:pPr>
      <w:r>
        <w:t xml:space="preserve">Archivo vivo. Completa o corrige cualquier campo; la skill lo lee al comenzar cada conversación.</w:t>
      </w:r>
    </w:p>
    <w:p>
      <w:pPr>
        <w:pStyle w:val="Cita"/>
      </w:pPr>
      <w:r>
        <w:t xml:space="preserve">Formato de cada línea: </w:t>
      </w:r>
      <w:r>
        <w:rPr>
          <w:rFonts w:ascii="Consolas" w:hAnsi="Consolas" w:cs="Consolas"/>
        </w:rPr>
        <w:t xml:space="preserve">- **Campo** [nivel]: valor</w:t>
      </w:r>
      <w:r>
        <w:t xml:space="preserve">. Deja PENDIENTE lo que no sepas. Marca con (SUPUESTO) lo que no esté confirmado.</w:t>
      </w:r>
    </w:p>
    <w:p>
      <w:pPr>
        <w:pStyle w:val="Cita"/>
      </w:pPr>
      <w:r>
        <w:t xml:space="preserve">Última actualización: 2026-09-28</w:t>
      </w:r>
    </w:p>
    <w:p>
      <w:pPr>
        <w:pStyle w:val="Heading1"/>
      </w:pPr>
      <w:r>
        <w:t xml:space="preserve">1. Identidad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Nombre de la marca</w:t>
      </w:r>
      <w:r>
        <w:t xml:space="preserve"> [N1]: PENDIENTE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Web y redes</w:t>
      </w:r>
      <w:r>
        <w:t xml:space="preserve"> [N1]: PENDIENTE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Productos o servicios y producto estrella</w:t>
      </w:r>
      <w:r>
        <w:t xml:space="preserve"> [N1]: Software de facturación para pymes ("Producto A" en las campañas)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Modelo de negocio</w:t>
      </w:r>
      <w:r>
        <w:t xml:space="preserve"> [N1]: SaaS B2B para pymes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País, ciudades o zonas y envíos</w:t>
      </w:r>
      <w:r>
        <w:t xml:space="preserve"> [N1]: PENDIENTE ("Ciudad 1" en las campañas)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Moneda</w:t>
      </w:r>
      <w:r>
        <w:t xml:space="preserve"> [N1]: USD (SUPUESTO: la pauta y el objetivo se reportan en USD)</w:t>
      </w:r>
    </w:p>
    <w:p>
      <w:pPr>
        <w:pStyle w:val="Heading1"/>
      </w:pPr>
      <w:r>
        <w:t xml:space="preserve">2. Cliente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Cliente ideal (quién compra / quién decide)</w:t>
      </w:r>
      <w:r>
        <w:t xml:space="preserve"> [N1]: Dueños o administradores de pymes que facturan (SUPUESTO)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Dolores o necesidades principales</w:t>
      </w:r>
      <w:r>
        <w:t xml:space="preserve"> [N2]: Pérdida de tiempo en la facturación (SUPUESTO, según el hook ganador)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Objeciones frecuentes</w:t>
      </w:r>
      <w:r>
        <w:t xml:space="preserve"> [N2]: PENDIENTE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Disparadores o temporadas de compra</w:t>
      </w:r>
      <w:r>
        <w:t xml:space="preserve"> [N2]: PENDIENTE</w:t>
      </w:r>
    </w:p>
    <w:p>
      <w:pPr>
        <w:pStyle w:val="Heading1"/>
      </w:pPr>
      <w:r>
        <w:t xml:space="preserve">3. Economía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Ticket promedio</w:t>
      </w:r>
      <w:r>
        <w:t xml:space="preserve"> [N1]: PENDIENTE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Margen o CAC máximo tolerable</w:t>
      </w:r>
      <w:r>
        <w:t xml:space="preserve"> [N2]: PENDIENTE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Duración del ciclo de venta</w:t>
      </w:r>
      <w:r>
        <w:t xml:space="preserve"> [N2]: Días a semanas (SUPUESTO, valor por defecto para SaaS)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Presupuesto publicitario mensual</w:t>
      </w:r>
      <w:r>
        <w:t xml:space="preserve"> [N2]: Unos 900 USD al mes (SUPUESTO: 210 USD/semana en la semana del 01–07 sep 2026)</w:t>
      </w:r>
    </w:p>
    <w:p>
      <w:pPr>
        <w:pStyle w:val="Heading1"/>
      </w:pPr>
      <w:r>
        <w:t xml:space="preserve">4. Oferta y competencia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Objetivo principal de la publicidad</w:t>
      </w:r>
      <w:r>
        <w:t xml:space="preserve"> [N1]: Leads calificados por WhatsApp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Diferenciadores (2-3 razones concretas)</w:t>
      </w:r>
      <w:r>
        <w:t xml:space="preserve"> [N2]: PENDIENTE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Competidores</w:t>
      </w:r>
      <w:r>
        <w:t xml:space="preserve"> [N2]: PENDIENTE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Ofertas vigentes o razón para comprar ahora</w:t>
      </w:r>
      <w:r>
        <w:t xml:space="preserve"> [N2]: PENDIENTE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Restricciones legales o de política publicitaria</w:t>
      </w:r>
      <w:r>
        <w:t xml:space="preserve"> [N2]: PENDIENTE</w:t>
      </w:r>
    </w:p>
    <w:p>
      <w:pPr>
        <w:pStyle w:val="Heading1"/>
      </w:pPr>
      <w:r>
        <w:t xml:space="preserve">5. Operación comercial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Canal de conversión y quién atiende (horario)</w:t>
      </w:r>
      <w:r>
        <w:t xml:space="preserve"> [N2]: WhatsApp (quién atiende y en qué horario: PENDIENTE)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Plataformas publicitarias activas</w:t>
      </w:r>
      <w:r>
        <w:t xml:space="preserve"> [N2]: Meta Ads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Material creativo disponible</w:t>
      </w:r>
      <w:r>
        <w:t xml:space="preserve"> [N2]: Video testimonio y video de producto en 9:16</w:t>
      </w:r>
    </w:p>
    <w:p>
      <w:pPr>
        <w:pStyle w:val="Heading1"/>
      </w:pPr>
      <w:r>
        <w:t xml:space="preserve">6. Medición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Píxel / API de conversiones / GA4 / GTM</w:t>
      </w:r>
      <w:r>
        <w:t xml:space="preserve"> [N3]: PENDIENTE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CRM o registro de ventas</w:t>
      </w:r>
      <w:r>
        <w:t xml:space="preserve"> [N3]: Registran calificados, oportunidades, cotizaciones y ventas por anuncio (herramienta: PENDIENTE)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Definición de lead calificado</w:t>
      </w:r>
      <w:r>
        <w:t xml:space="preserve"> [N3]: PENDIENTE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Tasa de cierre aproximada</w:t>
      </w:r>
      <w:r>
        <w:t xml:space="preserve"> [N3]: 15 % oportunidad → venta (SUPUESTO, valor por defecto)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Historial de campañas anteriores</w:t>
      </w:r>
      <w:r>
        <w:t xml:space="preserve"> [N3]: historial-campanas.xlsx (desde la semana del 01–07 sep 2026)</w:t>
      </w:r>
    </w:p>
    <w:p>
      <w:pPr>
        <w:pStyle w:val="Vineta"/>
        <w:numPr>
          <w:ilvl w:val="0"/>
          <w:numId w:val="1"/>
        </w:numPr>
      </w:pPr>
      <w:r>
        <w:rPr>
          <w:b/>
        </w:rPr>
        <w:t xml:space="preserve">Tamaño de audiencias propias</w:t>
      </w:r>
      <w:r>
        <w:t xml:space="preserve"> [N3]: PENDIENTE</w:t>
      </w:r>
    </w:p>
    <w:p>
      <w:pPr>
        <w:pStyle w:val="Heading1"/>
      </w:pPr>
      <w:r>
        <w:t xml:space="preserve">7. Techos económicos calculados</w:t>
      </w:r>
    </w:p>
    <w:p>
      <w:pPr>
        <w:pStyle w:val="Cita"/>
      </w:pPr>
      <w:r>
        <w:t xml:space="preserve">Los completa la skill a partir de la sección 3 (ver references/metodologia.md).</w:t>
      </w:r>
    </w:p>
    <w:p>
      <w:pPr>
        <w:pStyle w:val="Vineta"/>
        <w:numPr>
          <w:ilvl w:val="0"/>
          <w:numId w:val="1"/>
        </w:numPr>
      </w:pPr>
      <w:r>
        <w:t xml:space="preserve">CAC máximo: PENDIENTE (falta el ticket o LTV)</w:t>
      </w:r>
    </w:p>
    <w:p>
      <w:pPr>
        <w:pStyle w:val="Vineta"/>
        <w:numPr>
          <w:ilvl w:val="0"/>
          <w:numId w:val="1"/>
        </w:numPr>
      </w:pPr>
      <w:r>
        <w:t xml:space="preserve">Costo máximo por oportunidad o venta: PENDIENTE</w:t>
      </w:r>
    </w:p>
    <w:p>
      <w:pPr>
        <w:pStyle w:val="Vineta"/>
        <w:numPr>
          <w:ilvl w:val="0"/>
          <w:numId w:val="1"/>
        </w:numPr>
      </w:pPr>
      <w:r>
        <w:t xml:space="preserve">CPL calificado máximo: 40 USD (objetivo confirmado por el usuario el 2026-09-28)</w:t>
      </w:r>
    </w:p>
    <w:p>
      <w:pPr>
        <w:pStyle w:val="Vineta"/>
        <w:numPr>
          <w:ilvl w:val="0"/>
          <w:numId w:val="1"/>
        </w:numPr>
      </w:pPr>
      <w:r>
        <w:t xml:space="preserve">CPL máximo: unos 7,40 USD por conversación (derivado: 40 USD × 18,6 % de calificación observado)</w:t>
      </w:r>
    </w:p>
    <w:p>
      <w:pPr>
        <w:pStyle w:val="Heading1"/>
      </w:pPr>
      <w:r>
        <w:t xml:space="preserve">8. Línea base propia (se llena con datos reales)</w:t>
      </w:r>
    </w:p>
    <w:p>
      <w:r>
        <w:t xml:space="preserve">Se completa con 4 semanas de datos o más. Semana 1 (01–07 sep 2026, Meta): CPM 3,32 USD · CTR 1,0 % · CPC 0,33 USD · costo por conversación 3,38 USD · 18,6 % de calificación · CPLc 18,15 USD.</w:t>
      </w:r>
    </w:p>
    <w:tbl>
      <w:tblPr>
        <w:tblStyle w:val="TablaMarketing"/>
        <w:tblW w:w="5000" w:type="pct"/>
        <w:tblLook w:val="04A0" w:firstRow="1" w:lastRow="0" w:firstColumn="0" w:lastColumn="0" w:noHBand="0" w:noVBand="1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blHeader/>
        </w:trPr>
        <w:tc>
          <w:tcPr>
            <w:tcW w:w="10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Fecha</w:t>
            </w:r>
          </w:p>
        </w:tc>
        <w:tc>
          <w:tcPr>
            <w:tcW w:w="10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Plataforma</w:t>
            </w:r>
          </w:p>
        </w:tc>
        <w:tc>
          <w:tcPr>
            <w:tcW w:w="10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Producto</w:t>
            </w:r>
          </w:p>
        </w:tc>
        <w:tc>
          <w:tcPr>
            <w:tcW w:w="10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CPM</w:t>
            </w:r>
          </w:p>
        </w:tc>
        <w:tc>
          <w:tcPr>
            <w:tcW w:w="10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CTR</w:t>
            </w:r>
          </w:p>
        </w:tc>
        <w:tc>
          <w:tcPr>
            <w:tcW w:w="10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CPC</w:t>
            </w:r>
          </w:p>
        </w:tc>
        <w:tc>
          <w:tcPr>
            <w:tcW w:w="10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CPL / CPA</w:t>
            </w:r>
          </w:p>
        </w:tc>
        <w:tc>
          <w:tcPr>
            <w:tcW w:w="10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% calificación</w:t>
            </w:r>
          </w:p>
        </w:tc>
        <w:tc>
          <w:tcPr>
            <w:tcW w:w="1040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ROAS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Registro de cambios</w:t>
      </w:r>
    </w:p>
    <w:tbl>
      <w:tblPr>
        <w:tblStyle w:val="TablaMarketing"/>
        <w:tblW w:w="5000" w:type="pct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Fecha</w:t>
            </w:r>
          </w:p>
        </w:tc>
        <w:tc>
          <w:tcPr>
            <w:tcW w:w="1872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Campo</w:t>
            </w:r>
          </w:p>
        </w:tc>
        <w:tc>
          <w:tcPr>
            <w:tcW w:w="1872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Antes</w:t>
            </w:r>
          </w:p>
        </w:tc>
        <w:tc>
          <w:tcPr>
            <w:tcW w:w="1872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Ahora</w:t>
            </w:r>
          </w:p>
        </w:tc>
        <w:tc>
          <w:tcPr>
            <w:tcW w:w="1872" w:type="dxa"/>
            <w:shd w:val="clear" w:color="auto" w:fill="D9E2F3"/>
          </w:tcPr>
          <w:p>
            <w:pPr>
              <w:pStyle w:val="TablaTexto"/>
            </w:pPr>
            <w:r>
              <w:rPr>
                <w:b/>
              </w:rPr>
              <w:t xml:space="preserve">Fuente</w:t>
            </w:r>
          </w:p>
        </w:tc>
      </w:tr>
      <w:tr>
        <w:tc>
          <w:tcPr>
            <w:tcW w:w="1872" w:type="dxa"/>
          </w:tcPr>
          <w:p>
            <w:pPr>
              <w:pStyle w:val="TablaTexto"/>
            </w:pPr>
            <w:r>
              <w:t xml:space="preserve">2026-09-28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Ficha creada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—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Modelo SaaS B2B pymes, CPLc objetivo 40 USD</w:t>
            </w:r>
          </w:p>
        </w:tc>
        <w:tc>
          <w:tcPr>
            <w:tcW w:w="1872" w:type="dxa"/>
          </w:tcPr>
          <w:p>
            <w:pPr>
              <w:pStyle w:val="TablaTexto"/>
            </w:pPr>
            <w:r>
              <w:t xml:space="preserve">Mensaje del usuario + resultados-semana.xlsx</w:t>
            </w:r>
          </w:p>
        </w:tc>
      </w:tr>
    </w:tbl>
    <w:p>
      <w:pPr>
        <w:spacing w:after="60"/>
      </w:pPr>
    </w:p>
    <w:sectPr>
      <w:footerReference w:type="default" r:id="rIdFooter"/>
      <w:pgSz w:w="12240" w:h="15840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right"/>
    </w:pPr>
    <w:r>
      <w:rPr>
        <w:color w:val="808080"/>
        <w:sz w:val="16"/>
      </w:rPr>
      <w:t xml:space="preserve">Ficha de marca — Software de facturación para pymes · Página </w:t>
    </w:r>
    <w:r>
      <w:rPr>
        <w:color w:val="808080"/>
        <w:sz w:val="16"/>
      </w:rPr>
      <w:fldChar w:fldCharType="begin"/>
    </w:r>
    <w:r>
      <w:rPr>
        <w:color w:val="808080"/>
        <w:sz w:val="16"/>
      </w:rPr>
      <w:instrText xml:space="preserve"> PAGE </w:instrText>
    </w:r>
    <w:r>
      <w:rPr>
        <w:color w:val="808080"/>
        <w:sz w:val="16"/>
      </w:rPr>
      <w:fldChar w:fldCharType="separate"/>
    </w:r>
    <w:r>
      <w:rPr>
        <w:color w:val="808080"/>
        <w:sz w:val="16"/>
      </w:rPr>
      <w:t>1</w:t>
    </w:r>
    <w:r>
      <w:rPr>
        <w:color w:val="808080"/>
        <w:sz w:val="16"/>
      </w:rPr>
      <w:fldChar w:fldCharType="end"/>
    </w:r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360"/>
      </w:pPr>
    </w:lvl>
    <w:lvl w:ilvl="1">
      <w:start w:val="1"/>
      <w:numFmt w:val="bullet"/>
      <w:lvlText w:val="◦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s-E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pBdr>
        <w:bottom w:val="single" w:sz="12" w:space="4" w:color="1F4E79"/>
      </w:pBdr>
      <w:spacing w:after="240"/>
    </w:pPr>
    <w:rPr>
      <w:b/>
      <w:color w:val="1F4E79"/>
      <w:sz w:val="40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color w:val="1F4E79"/>
      <w:sz w:val="30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color w:val="2E74B5"/>
      <w:sz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  <w:sz w:val="23"/>
    </w:rPr>
  </w:style>
  <w:style w:type="paragraph" w:styleId="Cita">
    <w:name w:val="Cita"/>
    <w:basedOn w:val="Normal"/>
    <w:pPr>
      <w:pBdr>
        <w:left w:val="single" w:sz="18" w:space="8" w:color="1F4E79"/>
      </w:pBdr>
      <w:shd w:val="clear" w:color="auto" w:fill="F2F6FB"/>
      <w:ind w:left="360"/>
    </w:pPr>
    <w:rPr>
      <w:i/>
      <w:color w:val="404040"/>
    </w:rPr>
  </w:style>
  <w:style w:type="paragraph" w:styleId="Vineta">
    <w:name w:val="Viñeta"/>
    <w:basedOn w:val="Normal"/>
    <w:pPr>
      <w:spacing w:after="60"/>
    </w:pPr>
  </w:style>
  <w:style w:type="paragraph" w:styleId="Codigo">
    <w:name w:val="Código"/>
    <w:basedOn w:val="Normal"/>
    <w:pPr>
      <w:shd w:val="clear" w:color="auto" w:fill="F2F2F2"/>
      <w:spacing w:after="0"/>
    </w:pPr>
    <w:rPr>
      <w:rFonts w:ascii="Consolas" w:hAnsi="Consolas" w:cs="Consolas"/>
      <w:sz w:val="18"/>
    </w:rPr>
  </w:style>
  <w:style w:type="paragraph" w:styleId="TablaTexto">
    <w:name w:val="Texto de tabla"/>
    <w:basedOn w:val="Normal"/>
    <w:pPr>
      <w:spacing w:before="20" w:after="20" w:line="240" w:lineRule="auto"/>
    </w:pPr>
    <w:rPr>
      <w:sz w:val="19"/>
    </w:rPr>
  </w:style>
  <w:style w:type="table" w:default="1" w:styleId="TableNormal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Marketing">
    <w:name w:val="Tabla Marketing"/>
    <w:basedOn w:val="TableNormal"/>
    <w:tblPr>
      <w:tblBorders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  <w:insideH w:val="single" w:sz="4" w:space="0" w:color="A6A6A6"/>
        <w:insideV w:val="single" w:sz="4" w:space="0" w:color="A6A6A6"/>
      </w:tblBorders>
      <w:tblCellMar>
        <w:top w:w="40" w:type="dxa"/>
        <w:left w:w="80" w:type="dxa"/>
        <w:bottom w:w="40" w:type="dxa"/>
        <w:right w:w="8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oter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Ficha de marca — Software de facturación para pymes</dc:title>
  <dc:creator>Trafficker digital</dc:creator>
  <dcterms:created xsi:type="dcterms:W3CDTF">2026-09-28T17:59:06Z</dcterms:created>
  <dcterms:modified xsi:type="dcterms:W3CDTF">2026-09-28T17:59:06Z</dcterms:modified>
</cp:coreProperties>
</file>