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er1.xml" ContentType="application/vnd.openxmlformats-officedocument.wordprocessingml.footer+xml"/>
  <Override PartName="/docProps/core.xml" ContentType="application/vnd.openxmlformats-package.core-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pPr>
        <w:pStyle w:val="Title"/>
      </w:pPr>
      <w:r>
        <w:t xml:space="preserve">Reporte de optimización — Semana 01–07 sep 2026 · Software de facturación para pymes</w:t>
      </w:r>
    </w:p>
    <w:p>
      <w:pPr>
        <w:pStyle w:val="Heading1"/>
      </w:pPr>
      <w:r>
        <w:t xml:space="preserve">Resumen</w:t>
      </w:r>
    </w:p>
    <w:p>
      <w:r>
        <w:t xml:space="preserve">Gasto </w:t>
      </w:r>
      <w:r>
        <w:rPr>
          <w:b/>
        </w:rPr>
        <w:t xml:space="preserve">199,70 USD</w:t>
      </w:r>
      <w:r>
        <w:t xml:space="preserve"> · Conversaciones de WhatsApp </w:t>
      </w:r>
      <w:r>
        <w:rPr>
          <w:b/>
        </w:rPr>
        <w:t xml:space="preserve">59</w:t>
      </w:r>
      <w:r>
        <w:t xml:space="preserve"> · Calificados </w:t>
      </w:r>
      <w:r>
        <w:rPr>
          <w:b/>
        </w:rPr>
        <w:t xml:space="preserve">11</w:t>
      </w:r>
      <w:r>
        <w:t xml:space="preserve"> · Oportunidades </w:t>
      </w:r>
      <w:r>
        <w:rPr>
          <w:b/>
        </w:rPr>
        <w:t xml:space="preserve">3</w:t>
      </w:r>
      <w:r>
        <w:t xml:space="preserve"> · Cotizaciones </w:t>
      </w:r>
      <w:r>
        <w:rPr>
          <w:b/>
        </w:rPr>
        <w:t xml:space="preserve">1</w:t>
      </w:r>
      <w:r>
        <w:t xml:space="preserve"> · Ventas </w:t>
      </w:r>
      <w:r>
        <w:rPr>
          <w:b/>
        </w:rPr>
        <w:t xml:space="preserve">0</w:t>
      </w:r>
      <w:r>
        <w:t xml:space="preserve"> · Facturación </w:t>
      </w:r>
      <w:r>
        <w:rPr>
          <w:b/>
        </w:rPr>
        <w:t xml:space="preserve">0 USD</w:t>
      </w:r>
      <w:r>
        <w:t xml:space="preserve"> · </w:t>
      </w:r>
      <w:r>
        <w:rPr>
          <w:b/>
        </w:rPr>
        <w:t xml:space="preserve">CPL calificado 18,15 USD</w:t>
      </w:r>
      <w:r>
        <w:t xml:space="preserve"> (objetivo 40 USD: 55 % por debajo) · Costo por oportunidad 66,57 USD · Periodo anterior: sin datos (primera semana analizada).</w:t>
      </w:r>
    </w:p>
    <w:p>
      <w:r>
        <w:rPr>
          <w:b/>
        </w:rPr>
        <w:t xml:space="preserve">Decisión en una línea:</w:t>
      </w:r>
      <w:r>
        <w:t xml:space="preserve"> apagar "Hook producto B" (conjunto Intereses), escalar "Hook dolor A" (conjunto Amplia) +20 % y usar el resto del presupuesto liberado para probar el creativo ganador en la audiencia de intereses.</w:t>
      </w:r>
    </w:p>
    <w:p>
      <w:pPr>
        <w:pStyle w:val="Cita"/>
      </w:pPr>
      <w:r>
        <w:t xml:space="preserve">Nota: los datos cubren del 01 al 07 de septiembre de 2026. Si hay una semana más reciente, conviene revisarla antes de escalar el segundo tramo.</w:t>
      </w:r>
    </w:p>
    <w:p>
      <w:pPr>
        <w:pStyle w:val="Heading1"/>
      </w:pPr>
      <w:r>
        <w:t xml:space="preserve">Embudo</w:t>
      </w:r>
    </w:p>
    <w:tbl>
      <w:tblPr>
        <w:tblStyle w:val="TablaMarketing"/>
        <w:tblW w:w="5000" w:type="pct"/>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D9E2F3"/>
          </w:tcPr>
          <w:p>
            <w:pPr>
              <w:pStyle w:val="TablaTexto"/>
            </w:pPr>
            <w:r>
              <w:rPr>
                <w:b/>
              </w:rPr>
              <w:t xml:space="preserve">Etapa</w:t>
            </w:r>
          </w:p>
        </w:tc>
        <w:tc>
          <w:tcPr>
            <w:tcW w:w="1872" w:type="dxa"/>
            <w:shd w:val="clear" w:color="auto" w:fill="D9E2F3"/>
          </w:tcPr>
          <w:p>
            <w:pPr>
              <w:pStyle w:val="TablaTexto"/>
            </w:pPr>
            <w:r>
              <w:rPr>
                <w:b/>
              </w:rPr>
              <w:t xml:space="preserve">Actual</w:t>
            </w:r>
          </w:p>
        </w:tc>
        <w:tc>
          <w:tcPr>
            <w:tcW w:w="1872" w:type="dxa"/>
            <w:shd w:val="clear" w:color="auto" w:fill="D9E2F3"/>
          </w:tcPr>
          <w:p>
            <w:pPr>
              <w:pStyle w:val="TablaTexto"/>
            </w:pPr>
            <w:r>
              <w:rPr>
                <w:b/>
              </w:rPr>
              <w:t xml:space="preserve">Anterior</w:t>
            </w:r>
          </w:p>
        </w:tc>
        <w:tc>
          <w:tcPr>
            <w:tcW w:w="1872" w:type="dxa"/>
            <w:shd w:val="clear" w:color="auto" w:fill="D9E2F3"/>
          </w:tcPr>
          <w:p>
            <w:pPr>
              <w:pStyle w:val="TablaTexto"/>
            </w:pPr>
            <w:r>
              <w:rPr>
                <w:b/>
              </w:rPr>
              <w:t xml:space="preserve">Δ %</w:t>
            </w:r>
          </w:p>
        </w:tc>
        <w:tc>
          <w:tcPr>
            <w:tcW w:w="1872" w:type="dxa"/>
            <w:shd w:val="clear" w:color="auto" w:fill="D9E2F3"/>
          </w:tcPr>
          <w:p>
            <w:pPr>
              <w:pStyle w:val="TablaTexto"/>
            </w:pPr>
            <w:r>
              <w:rPr>
                <w:b/>
              </w:rPr>
              <w:t xml:space="preserve">Línea base (B2B / SaaS)</w:t>
            </w:r>
          </w:p>
        </w:tc>
      </w:tr>
      <w:tr>
        <w:tc>
          <w:tcPr>
            <w:tcW w:w="1872" w:type="dxa"/>
          </w:tcPr>
          <w:p>
            <w:pPr>
              <w:pStyle w:val="TablaTexto"/>
            </w:pPr>
            <w:r>
              <w:t xml:space="preserve">Impresiones</w:t>
            </w:r>
          </w:p>
        </w:tc>
        <w:tc>
          <w:tcPr>
            <w:tcW w:w="1872" w:type="dxa"/>
          </w:tcPr>
          <w:p>
            <w:pPr>
              <w:pStyle w:val="TablaTexto"/>
            </w:pPr>
            <w:r>
              <w:t xml:space="preserve">60 100</w:t>
            </w:r>
          </w:p>
        </w:tc>
        <w:tc>
          <w:tcPr>
            <w:tcW w:w="1872" w:type="dxa"/>
          </w:tcPr>
          <w:p>
            <w:pPr>
              <w:pStyle w:val="TablaTexto"/>
            </w:pPr>
            <w:r>
              <w:t xml:space="preserve">s/d</w:t>
            </w:r>
          </w:p>
        </w:tc>
        <w:tc>
          <w:tcPr>
            <w:tcW w:w="1872" w:type="dxa"/>
          </w:tcPr>
          <w:p>
            <w:pPr>
              <w:pStyle w:val="TablaTexto"/>
            </w:pPr>
            <w:r>
              <w:t xml:space="preserve">s/d</w:t>
            </w:r>
          </w:p>
        </w:tc>
        <w:tc>
          <w:tcPr>
            <w:tcW w:w="1872" w:type="dxa"/>
          </w:tcPr>
          <w:p>
            <w:pPr>
              <w:pStyle w:val="TablaTexto"/>
            </w:pPr>
            <w:r>
              <w:t xml:space="preserve">—</w:t>
            </w:r>
          </w:p>
        </w:tc>
      </w:tr>
      <w:tr>
        <w:tc>
          <w:tcPr>
            <w:tcW w:w="1872" w:type="dxa"/>
          </w:tcPr>
          <w:p>
            <w:pPr>
              <w:pStyle w:val="TablaTexto"/>
            </w:pPr>
            <w:r>
              <w:t xml:space="preserve">Clics</w:t>
            </w:r>
          </w:p>
        </w:tc>
        <w:tc>
          <w:tcPr>
            <w:tcW w:w="1872" w:type="dxa"/>
          </w:tcPr>
          <w:p>
            <w:pPr>
              <w:pStyle w:val="TablaTexto"/>
            </w:pPr>
            <w:r>
              <w:t xml:space="preserve">600</w:t>
            </w:r>
          </w:p>
        </w:tc>
        <w:tc>
          <w:tcPr>
            <w:tcW w:w="1872" w:type="dxa"/>
          </w:tcPr>
          <w:p>
            <w:pPr>
              <w:pStyle w:val="TablaTexto"/>
            </w:pPr>
            <w:r>
              <w:t xml:space="preserve">s/d</w:t>
            </w:r>
          </w:p>
        </w:tc>
        <w:tc>
          <w:tcPr>
            <w:tcW w:w="1872" w:type="dxa"/>
          </w:tcPr>
          <w:p>
            <w:pPr>
              <w:pStyle w:val="TablaTexto"/>
            </w:pPr>
            <w:r>
              <w:t xml:space="preserve">s/d</w:t>
            </w:r>
          </w:p>
        </w:tc>
        <w:tc>
          <w:tcPr>
            <w:tcW w:w="1872" w:type="dxa"/>
          </w:tcPr>
          <w:p>
            <w:pPr>
              <w:pStyle w:val="TablaTexto"/>
            </w:pPr>
            <w:r>
              <w:t xml:space="preserve">—</w:t>
            </w:r>
          </w:p>
        </w:tc>
      </w:tr>
      <w:tr>
        <w:tc>
          <w:tcPr>
            <w:tcW w:w="1872" w:type="dxa"/>
          </w:tcPr>
          <w:p>
            <w:pPr>
              <w:pStyle w:val="TablaTexto"/>
            </w:pPr>
            <w:r>
              <w:t xml:space="preserve">CTR</w:t>
            </w:r>
          </w:p>
        </w:tc>
        <w:tc>
          <w:tcPr>
            <w:tcW w:w="1872" w:type="dxa"/>
          </w:tcPr>
          <w:p>
            <w:pPr>
              <w:pStyle w:val="TablaTexto"/>
            </w:pPr>
            <w:r>
              <w:t xml:space="preserve">1,0 %</w:t>
            </w:r>
          </w:p>
        </w:tc>
        <w:tc>
          <w:tcPr>
            <w:tcW w:w="1872" w:type="dxa"/>
          </w:tcPr>
          <w:p>
            <w:pPr>
              <w:pStyle w:val="TablaTexto"/>
            </w:pPr>
            <w:r>
              <w:t xml:space="preserve">s/d</w:t>
            </w:r>
          </w:p>
        </w:tc>
        <w:tc>
          <w:tcPr>
            <w:tcW w:w="1872" w:type="dxa"/>
          </w:tcPr>
          <w:p>
            <w:pPr>
              <w:pStyle w:val="TablaTexto"/>
            </w:pPr>
            <w:r>
              <w:t xml:space="preserve">s/d</w:t>
            </w:r>
          </w:p>
        </w:tc>
        <w:tc>
          <w:tcPr>
            <w:tcW w:w="1872" w:type="dxa"/>
          </w:tcPr>
          <w:p>
            <w:pPr>
              <w:pStyle w:val="TablaTexto"/>
            </w:pPr>
            <w:r>
              <w:t xml:space="preserve">0,6 % – 1,5 %</w:t>
            </w:r>
          </w:p>
        </w:tc>
      </w:tr>
      <w:tr>
        <w:tc>
          <w:tcPr>
            <w:tcW w:w="1872" w:type="dxa"/>
          </w:tcPr>
          <w:p>
            <w:pPr>
              <w:pStyle w:val="TablaTexto"/>
            </w:pPr>
            <w:r>
              <w:t xml:space="preserve">CPM</w:t>
            </w:r>
          </w:p>
        </w:tc>
        <w:tc>
          <w:tcPr>
            <w:tcW w:w="1872" w:type="dxa"/>
          </w:tcPr>
          <w:p>
            <w:pPr>
              <w:pStyle w:val="TablaTexto"/>
            </w:pPr>
            <w:r>
              <w:t xml:space="preserve">3,32 USD</w:t>
            </w:r>
          </w:p>
        </w:tc>
        <w:tc>
          <w:tcPr>
            <w:tcW w:w="1872" w:type="dxa"/>
          </w:tcPr>
          <w:p>
            <w:pPr>
              <w:pStyle w:val="TablaTexto"/>
            </w:pPr>
            <w:r>
              <w:t xml:space="preserve">s/d</w:t>
            </w:r>
          </w:p>
        </w:tc>
        <w:tc>
          <w:tcPr>
            <w:tcW w:w="1872" w:type="dxa"/>
          </w:tcPr>
          <w:p>
            <w:pPr>
              <w:pStyle w:val="TablaTexto"/>
            </w:pPr>
            <w:r>
              <w:t xml:space="preserve">s/d</w:t>
            </w:r>
          </w:p>
        </w:tc>
        <w:tc>
          <w:tcPr>
            <w:tcW w:w="1872" w:type="dxa"/>
          </w:tcPr>
          <w:p>
            <w:pPr>
              <w:pStyle w:val="TablaTexto"/>
            </w:pPr>
            <w:r>
              <w:t xml:space="preserve">3 – 8 USD</w:t>
            </w:r>
          </w:p>
        </w:tc>
      </w:tr>
      <w:tr>
        <w:tc>
          <w:tcPr>
            <w:tcW w:w="1872" w:type="dxa"/>
          </w:tcPr>
          <w:p>
            <w:pPr>
              <w:pStyle w:val="TablaTexto"/>
            </w:pPr>
            <w:r>
              <w:t xml:space="preserve">CPC</w:t>
            </w:r>
          </w:p>
        </w:tc>
        <w:tc>
          <w:tcPr>
            <w:tcW w:w="1872" w:type="dxa"/>
          </w:tcPr>
          <w:p>
            <w:pPr>
              <w:pStyle w:val="TablaTexto"/>
            </w:pPr>
            <w:r>
              <w:t xml:space="preserve">0,33 USD</w:t>
            </w:r>
          </w:p>
        </w:tc>
        <w:tc>
          <w:tcPr>
            <w:tcW w:w="1872" w:type="dxa"/>
          </w:tcPr>
          <w:p>
            <w:pPr>
              <w:pStyle w:val="TablaTexto"/>
            </w:pPr>
            <w:r>
              <w:t xml:space="preserve">s/d</w:t>
            </w:r>
          </w:p>
        </w:tc>
        <w:tc>
          <w:tcPr>
            <w:tcW w:w="1872" w:type="dxa"/>
          </w:tcPr>
          <w:p>
            <w:pPr>
              <w:pStyle w:val="TablaTexto"/>
            </w:pPr>
            <w:r>
              <w:t xml:space="preserve">s/d</w:t>
            </w:r>
          </w:p>
        </w:tc>
        <w:tc>
          <w:tcPr>
            <w:tcW w:w="1872" w:type="dxa"/>
          </w:tcPr>
          <w:p>
            <w:pPr>
              <w:pStyle w:val="TablaTexto"/>
            </w:pPr>
            <w:r>
              <w:t xml:space="preserve">0,30 – 1,20 USD</w:t>
            </w:r>
          </w:p>
        </w:tc>
      </w:tr>
      <w:tr>
        <w:tc>
          <w:tcPr>
            <w:tcW w:w="1872" w:type="dxa"/>
          </w:tcPr>
          <w:p>
            <w:pPr>
              <w:pStyle w:val="TablaTexto"/>
            </w:pPr>
            <w:r>
              <w:t xml:space="preserve">Conversaciones</w:t>
            </w:r>
          </w:p>
        </w:tc>
        <w:tc>
          <w:tcPr>
            <w:tcW w:w="1872" w:type="dxa"/>
          </w:tcPr>
          <w:p>
            <w:pPr>
              <w:pStyle w:val="TablaTexto"/>
            </w:pPr>
            <w:r>
              <w:t xml:space="preserve">59</w:t>
            </w:r>
          </w:p>
        </w:tc>
        <w:tc>
          <w:tcPr>
            <w:tcW w:w="1872" w:type="dxa"/>
          </w:tcPr>
          <w:p>
            <w:pPr>
              <w:pStyle w:val="TablaTexto"/>
            </w:pPr>
            <w:r>
              <w:t xml:space="preserve">s/d</w:t>
            </w:r>
          </w:p>
        </w:tc>
        <w:tc>
          <w:tcPr>
            <w:tcW w:w="1872" w:type="dxa"/>
          </w:tcPr>
          <w:p>
            <w:pPr>
              <w:pStyle w:val="TablaTexto"/>
            </w:pPr>
            <w:r>
              <w:t xml:space="preserve">s/d</w:t>
            </w:r>
          </w:p>
        </w:tc>
        <w:tc>
          <w:tcPr>
            <w:tcW w:w="1872" w:type="dxa"/>
          </w:tcPr>
          <w:p>
            <w:pPr>
              <w:pStyle w:val="TablaTexto"/>
            </w:pPr>
            <w:r>
              <w:t xml:space="preserve">—</w:t>
            </w:r>
          </w:p>
        </w:tc>
      </w:tr>
      <w:tr>
        <w:tc>
          <w:tcPr>
            <w:tcW w:w="1872" w:type="dxa"/>
          </w:tcPr>
          <w:p>
            <w:pPr>
              <w:pStyle w:val="TablaTexto"/>
            </w:pPr>
            <w:r>
              <w:t xml:space="preserve">Costo por conversación</w:t>
            </w:r>
          </w:p>
        </w:tc>
        <w:tc>
          <w:tcPr>
            <w:tcW w:w="1872" w:type="dxa"/>
          </w:tcPr>
          <w:p>
            <w:pPr>
              <w:pStyle w:val="TablaTexto"/>
            </w:pPr>
            <w:r>
              <w:t xml:space="preserve">3,38 USD</w:t>
            </w:r>
          </w:p>
        </w:tc>
        <w:tc>
          <w:tcPr>
            <w:tcW w:w="1872" w:type="dxa"/>
          </w:tcPr>
          <w:p>
            <w:pPr>
              <w:pStyle w:val="TablaTexto"/>
            </w:pPr>
            <w:r>
              <w:t xml:space="preserve">s/d</w:t>
            </w:r>
          </w:p>
        </w:tc>
        <w:tc>
          <w:tcPr>
            <w:tcW w:w="1872" w:type="dxa"/>
          </w:tcPr>
          <w:p>
            <w:pPr>
              <w:pStyle w:val="TablaTexto"/>
            </w:pPr>
            <w:r>
              <w:t xml:space="preserve">s/d</w:t>
            </w:r>
          </w:p>
        </w:tc>
        <w:tc>
          <w:tcPr>
            <w:tcW w:w="1872" w:type="dxa"/>
          </w:tcPr>
          <w:p>
            <w:pPr>
              <w:pStyle w:val="TablaTexto"/>
            </w:pPr>
            <w:r>
              <w:t xml:space="preserve">2 – 10 USD</w:t>
            </w:r>
          </w:p>
        </w:tc>
      </w:tr>
      <w:tr>
        <w:tc>
          <w:tcPr>
            <w:tcW w:w="1872" w:type="dxa"/>
          </w:tcPr>
          <w:p>
            <w:pPr>
              <w:pStyle w:val="TablaTexto"/>
            </w:pPr>
            <w:r>
              <w:t xml:space="preserve">Conversación → calificado</w:t>
            </w:r>
          </w:p>
        </w:tc>
        <w:tc>
          <w:tcPr>
            <w:tcW w:w="1872" w:type="dxa"/>
          </w:tcPr>
          <w:p>
            <w:pPr>
              <w:pStyle w:val="TablaTexto"/>
            </w:pPr>
            <w:r>
              <w:t xml:space="preserve">18,6 %</w:t>
            </w:r>
          </w:p>
        </w:tc>
        <w:tc>
          <w:tcPr>
            <w:tcW w:w="1872" w:type="dxa"/>
          </w:tcPr>
          <w:p>
            <w:pPr>
              <w:pStyle w:val="TablaTexto"/>
            </w:pPr>
            <w:r>
              <w:t xml:space="preserve">s/d</w:t>
            </w:r>
          </w:p>
        </w:tc>
        <w:tc>
          <w:tcPr>
            <w:tcW w:w="1872" w:type="dxa"/>
          </w:tcPr>
          <w:p>
            <w:pPr>
              <w:pStyle w:val="TablaTexto"/>
            </w:pPr>
            <w:r>
              <w:t xml:space="preserve">s/d</w:t>
            </w:r>
          </w:p>
        </w:tc>
        <w:tc>
          <w:tcPr>
            <w:tcW w:w="1872" w:type="dxa"/>
          </w:tcPr>
          <w:p>
            <w:pPr>
              <w:pStyle w:val="TablaTexto"/>
            </w:pPr>
            <w:r>
              <w:t xml:space="preserve">15 % – 35 %</w:t>
            </w:r>
          </w:p>
        </w:tc>
      </w:tr>
      <w:tr>
        <w:tc>
          <w:tcPr>
            <w:tcW w:w="1872" w:type="dxa"/>
          </w:tcPr>
          <w:p>
            <w:pPr>
              <w:pStyle w:val="TablaTexto"/>
            </w:pPr>
            <w:r>
              <w:t xml:space="preserve">Calificado → oportunidad</w:t>
            </w:r>
          </w:p>
        </w:tc>
        <w:tc>
          <w:tcPr>
            <w:tcW w:w="1872" w:type="dxa"/>
          </w:tcPr>
          <w:p>
            <w:pPr>
              <w:pStyle w:val="TablaTexto"/>
            </w:pPr>
            <w:r>
              <w:t xml:space="preserve">27,3 %</w:t>
            </w:r>
          </w:p>
        </w:tc>
        <w:tc>
          <w:tcPr>
            <w:tcW w:w="1872" w:type="dxa"/>
          </w:tcPr>
          <w:p>
            <w:pPr>
              <w:pStyle w:val="TablaTexto"/>
            </w:pPr>
            <w:r>
              <w:t xml:space="preserve">s/d</w:t>
            </w:r>
          </w:p>
        </w:tc>
        <w:tc>
          <w:tcPr>
            <w:tcW w:w="1872" w:type="dxa"/>
          </w:tcPr>
          <w:p>
            <w:pPr>
              <w:pStyle w:val="TablaTexto"/>
            </w:pPr>
            <w:r>
              <w:t xml:space="preserve">s/d</w:t>
            </w:r>
          </w:p>
        </w:tc>
        <w:tc>
          <w:tcPr>
            <w:tcW w:w="1872" w:type="dxa"/>
          </w:tcPr>
          <w:p>
            <w:pPr>
              <w:pStyle w:val="TablaTexto"/>
            </w:pPr>
            <w:r>
              <w:t xml:space="preserve">30 % – 50 %</w:t>
            </w:r>
          </w:p>
        </w:tc>
      </w:tr>
      <w:tr>
        <w:tc>
          <w:tcPr>
            <w:tcW w:w="1872" w:type="dxa"/>
          </w:tcPr>
          <w:p>
            <w:pPr>
              <w:pStyle w:val="TablaTexto"/>
            </w:pPr>
            <w:r>
              <w:t xml:space="preserve">Oportunidad → cotización</w:t>
            </w:r>
          </w:p>
        </w:tc>
        <w:tc>
          <w:tcPr>
            <w:tcW w:w="1872" w:type="dxa"/>
          </w:tcPr>
          <w:p>
            <w:pPr>
              <w:pStyle w:val="TablaTexto"/>
            </w:pPr>
            <w:r>
              <w:t xml:space="preserve">33,3 %</w:t>
            </w:r>
          </w:p>
        </w:tc>
        <w:tc>
          <w:tcPr>
            <w:tcW w:w="1872" w:type="dxa"/>
          </w:tcPr>
          <w:p>
            <w:pPr>
              <w:pStyle w:val="TablaTexto"/>
            </w:pPr>
            <w:r>
              <w:t xml:space="preserve">s/d</w:t>
            </w:r>
          </w:p>
        </w:tc>
        <w:tc>
          <w:tcPr>
            <w:tcW w:w="1872" w:type="dxa"/>
          </w:tcPr>
          <w:p>
            <w:pPr>
              <w:pStyle w:val="TablaTexto"/>
            </w:pPr>
            <w:r>
              <w:t xml:space="preserve">s/d</w:t>
            </w:r>
          </w:p>
        </w:tc>
        <w:tc>
          <w:tcPr>
            <w:tcW w:w="1872" w:type="dxa"/>
          </w:tcPr>
          <w:p>
            <w:pPr>
              <w:pStyle w:val="TablaTexto"/>
            </w:pPr>
            <w:r>
              <w:t xml:space="preserve">—</w:t>
            </w:r>
          </w:p>
        </w:tc>
      </w:tr>
      <w:tr>
        <w:tc>
          <w:tcPr>
            <w:tcW w:w="1872" w:type="dxa"/>
          </w:tcPr>
          <w:p>
            <w:pPr>
              <w:pStyle w:val="TablaTexto"/>
            </w:pPr>
            <w:r>
              <w:t xml:space="preserve">Cotización → venta</w:t>
            </w:r>
          </w:p>
        </w:tc>
        <w:tc>
          <w:tcPr>
            <w:tcW w:w="1872" w:type="dxa"/>
          </w:tcPr>
          <w:p>
            <w:pPr>
              <w:pStyle w:val="TablaTexto"/>
            </w:pPr>
            <w:r>
              <w:t xml:space="preserve">0 % (1 cotización)</w:t>
            </w:r>
          </w:p>
        </w:tc>
        <w:tc>
          <w:tcPr>
            <w:tcW w:w="1872" w:type="dxa"/>
          </w:tcPr>
          <w:p>
            <w:pPr>
              <w:pStyle w:val="TablaTexto"/>
            </w:pPr>
            <w:r>
              <w:t xml:space="preserve">s/d</w:t>
            </w:r>
          </w:p>
        </w:tc>
        <w:tc>
          <w:tcPr>
            <w:tcW w:w="1872" w:type="dxa"/>
          </w:tcPr>
          <w:p>
            <w:pPr>
              <w:pStyle w:val="TablaTexto"/>
            </w:pPr>
            <w:r>
              <w:t xml:space="preserve">s/d</w:t>
            </w:r>
          </w:p>
        </w:tc>
        <w:tc>
          <w:tcPr>
            <w:tcW w:w="1872" w:type="dxa"/>
          </w:tcPr>
          <w:p>
            <w:pPr>
              <w:pStyle w:val="TablaTexto"/>
            </w:pPr>
            <w:r>
              <w:t xml:space="preserve">10 % – 25 % (oportunidad → venta)</w:t>
            </w:r>
          </w:p>
        </w:tc>
      </w:tr>
      <w:tr>
        <w:tc>
          <w:tcPr>
            <w:tcW w:w="1872" w:type="dxa"/>
          </w:tcPr>
          <w:p>
            <w:pPr>
              <w:pStyle w:val="TablaTexto"/>
            </w:pPr>
            <w:r>
              <w:t xml:space="preserve">CPL calificado</w:t>
            </w:r>
          </w:p>
        </w:tc>
        <w:tc>
          <w:tcPr>
            <w:tcW w:w="1872" w:type="dxa"/>
          </w:tcPr>
          <w:p>
            <w:pPr>
              <w:pStyle w:val="TablaTexto"/>
            </w:pPr>
            <w:r>
              <w:t xml:space="preserve">18,15 USD</w:t>
            </w:r>
          </w:p>
        </w:tc>
        <w:tc>
          <w:tcPr>
            <w:tcW w:w="1872" w:type="dxa"/>
          </w:tcPr>
          <w:p>
            <w:pPr>
              <w:pStyle w:val="TablaTexto"/>
            </w:pPr>
            <w:r>
              <w:t xml:space="preserve">s/d</w:t>
            </w:r>
          </w:p>
        </w:tc>
        <w:tc>
          <w:tcPr>
            <w:tcW w:w="1872" w:type="dxa"/>
          </w:tcPr>
          <w:p>
            <w:pPr>
              <w:pStyle w:val="TablaTexto"/>
            </w:pPr>
            <w:r>
              <w:t xml:space="preserve">s/d</w:t>
            </w:r>
          </w:p>
        </w:tc>
        <w:tc>
          <w:tcPr>
            <w:tcW w:w="1872" w:type="dxa"/>
          </w:tcPr>
          <w:p>
            <w:pPr>
              <w:pStyle w:val="TablaTexto"/>
            </w:pPr>
            <w:r>
              <w:t xml:space="preserve">Objetivo: 40 USD</w:t>
            </w:r>
          </w:p>
        </w:tc>
      </w:tr>
    </w:tbl>
    <w:p>
      <w:pPr>
        <w:spacing w:after="60"/>
      </w:pPr>
    </w:p>
    <w:p>
      <w:pPr>
        <w:pStyle w:val="Heading1"/>
      </w:pPr>
      <w:r>
        <w:t xml:space="preserve">KPIs por anuncio</w:t>
      </w:r>
    </w:p>
    <w:tbl>
      <w:tblPr>
        <w:tblStyle w:val="TablaMarketing"/>
        <w:tblW w:w="5000" w:type="pct"/>
        <w:tblLook w:val="04A0" w:firstRow="1" w:lastRow="0" w:firstColumn="0" w:lastColumn="0" w:noHBand="0" w:noVBand="1"/>
      </w:tblPr>
      <w:tblGrid>
        <w:gridCol w:w="668"/>
        <w:gridCol w:w="668"/>
        <w:gridCol w:w="668"/>
        <w:gridCol w:w="668"/>
        <w:gridCol w:w="668"/>
        <w:gridCol w:w="668"/>
        <w:gridCol w:w="668"/>
        <w:gridCol w:w="668"/>
        <w:gridCol w:w="668"/>
        <w:gridCol w:w="668"/>
        <w:gridCol w:w="668"/>
        <w:gridCol w:w="668"/>
        <w:gridCol w:w="668"/>
        <w:gridCol w:w="668"/>
      </w:tblGrid>
      <w:tr>
        <w:trPr>
          <w:tblHeader/>
        </w:trPr>
        <w:tc>
          <w:tcPr>
            <w:tcW w:w="668" w:type="dxa"/>
            <w:shd w:val="clear" w:color="auto" w:fill="D9E2F3"/>
          </w:tcPr>
          <w:p>
            <w:pPr>
              <w:pStyle w:val="TablaTexto"/>
            </w:pPr>
            <w:r>
              <w:rPr>
                <w:b/>
              </w:rPr>
              <w:t xml:space="preserve">Anuncio</w:t>
            </w:r>
          </w:p>
        </w:tc>
        <w:tc>
          <w:tcPr>
            <w:tcW w:w="668" w:type="dxa"/>
            <w:shd w:val="clear" w:color="auto" w:fill="D9E2F3"/>
          </w:tcPr>
          <w:p>
            <w:pPr>
              <w:pStyle w:val="TablaTexto"/>
            </w:pPr>
            <w:r>
              <w:rPr>
                <w:b/>
              </w:rPr>
              <w:t xml:space="preserve">Conjunto</w:t>
            </w:r>
          </w:p>
        </w:tc>
        <w:tc>
          <w:tcPr>
            <w:tcW w:w="668" w:type="dxa"/>
            <w:shd w:val="clear" w:color="auto" w:fill="D9E2F3"/>
          </w:tcPr>
          <w:p>
            <w:pPr>
              <w:pStyle w:val="TablaTexto"/>
            </w:pPr>
            <w:r>
              <w:rPr>
                <w:b/>
              </w:rPr>
              <w:t xml:space="preserve">Gasto</w:t>
            </w:r>
          </w:p>
        </w:tc>
        <w:tc>
          <w:tcPr>
            <w:tcW w:w="668" w:type="dxa"/>
            <w:shd w:val="clear" w:color="auto" w:fill="D9E2F3"/>
          </w:tcPr>
          <w:p>
            <w:pPr>
              <w:pStyle w:val="TablaTexto"/>
            </w:pPr>
            <w:r>
              <w:rPr>
                <w:b/>
              </w:rPr>
              <w:t xml:space="preserve">Conversaciones</w:t>
            </w:r>
          </w:p>
        </w:tc>
        <w:tc>
          <w:tcPr>
            <w:tcW w:w="668" w:type="dxa"/>
            <w:shd w:val="clear" w:color="auto" w:fill="D9E2F3"/>
          </w:tcPr>
          <w:p>
            <w:pPr>
              <w:pStyle w:val="TablaTexto"/>
            </w:pPr>
            <w:r>
              <w:rPr>
                <w:b/>
              </w:rPr>
              <w:t xml:space="preserve">Calificados</w:t>
            </w:r>
          </w:p>
        </w:tc>
        <w:tc>
          <w:tcPr>
            <w:tcW w:w="668" w:type="dxa"/>
            <w:shd w:val="clear" w:color="auto" w:fill="D9E2F3"/>
          </w:tcPr>
          <w:p>
            <w:pPr>
              <w:pStyle w:val="TablaTexto"/>
            </w:pPr>
            <w:r>
              <w:rPr>
                <w:b/>
              </w:rPr>
              <w:t xml:space="preserve">Oportunidades</w:t>
            </w:r>
          </w:p>
        </w:tc>
        <w:tc>
          <w:tcPr>
            <w:tcW w:w="668" w:type="dxa"/>
            <w:shd w:val="clear" w:color="auto" w:fill="D9E2F3"/>
          </w:tcPr>
          <w:p>
            <w:pPr>
              <w:pStyle w:val="TablaTexto"/>
            </w:pPr>
            <w:r>
              <w:rPr>
                <w:b/>
              </w:rPr>
              <w:t xml:space="preserve">CPM</w:t>
            </w:r>
          </w:p>
        </w:tc>
        <w:tc>
          <w:tcPr>
            <w:tcW w:w="668" w:type="dxa"/>
            <w:shd w:val="clear" w:color="auto" w:fill="D9E2F3"/>
          </w:tcPr>
          <w:p>
            <w:pPr>
              <w:pStyle w:val="TablaTexto"/>
            </w:pPr>
            <w:r>
              <w:rPr>
                <w:b/>
              </w:rPr>
              <w:t xml:space="preserve">CTR</w:t>
            </w:r>
          </w:p>
        </w:tc>
        <w:tc>
          <w:tcPr>
            <w:tcW w:w="668" w:type="dxa"/>
            <w:shd w:val="clear" w:color="auto" w:fill="D9E2F3"/>
          </w:tcPr>
          <w:p>
            <w:pPr>
              <w:pStyle w:val="TablaTexto"/>
            </w:pPr>
            <w:r>
              <w:rPr>
                <w:b/>
              </w:rPr>
              <w:t xml:space="preserve">CPC</w:t>
            </w:r>
          </w:p>
        </w:tc>
        <w:tc>
          <w:tcPr>
            <w:tcW w:w="668" w:type="dxa"/>
            <w:shd w:val="clear" w:color="auto" w:fill="D9E2F3"/>
          </w:tcPr>
          <w:p>
            <w:pPr>
              <w:pStyle w:val="TablaTexto"/>
            </w:pPr>
            <w:r>
              <w:rPr>
                <w:b/>
              </w:rPr>
              <w:t xml:space="preserve">Costo/conv.</w:t>
            </w:r>
          </w:p>
        </w:tc>
        <w:tc>
          <w:tcPr>
            <w:tcW w:w="668" w:type="dxa"/>
            <w:shd w:val="clear" w:color="auto" w:fill="D9E2F3"/>
          </w:tcPr>
          <w:p>
            <w:pPr>
              <w:pStyle w:val="TablaTexto"/>
            </w:pPr>
            <w:r>
              <w:rPr>
                <w:b/>
              </w:rPr>
              <w:t xml:space="preserve">% calificados</w:t>
            </w:r>
          </w:p>
        </w:tc>
        <w:tc>
          <w:tcPr>
            <w:tcW w:w="668" w:type="dxa"/>
            <w:shd w:val="clear" w:color="auto" w:fill="D9E2F3"/>
          </w:tcPr>
          <w:p>
            <w:pPr>
              <w:pStyle w:val="TablaTexto"/>
            </w:pPr>
            <w:r>
              <w:rPr>
                <w:b/>
              </w:rPr>
              <w:t xml:space="preserve">CPLc</w:t>
            </w:r>
          </w:p>
        </w:tc>
        <w:tc>
          <w:tcPr>
            <w:tcW w:w="668" w:type="dxa"/>
            <w:shd w:val="clear" w:color="auto" w:fill="D9E2F3"/>
          </w:tcPr>
          <w:p>
            <w:pPr>
              <w:pStyle w:val="TablaTexto"/>
            </w:pPr>
            <w:r>
              <w:rPr>
                <w:b/>
              </w:rPr>
              <w:t xml:space="preserve">Costo/oportunidad</w:t>
            </w:r>
          </w:p>
        </w:tc>
        <w:tc>
          <w:tcPr>
            <w:tcW w:w="668" w:type="dxa"/>
            <w:shd w:val="clear" w:color="auto" w:fill="D9E2F3"/>
          </w:tcPr>
          <w:p>
            <w:pPr>
              <w:pStyle w:val="TablaTexto"/>
            </w:pPr>
            <w:r>
              <w:rPr>
                <w:b/>
              </w:rPr>
              <w:t xml:space="preserve">Decisión</w:t>
            </w:r>
          </w:p>
        </w:tc>
      </w:tr>
      <w:tr>
        <w:tc>
          <w:tcPr>
            <w:tcW w:w="668" w:type="dxa"/>
          </w:tcPr>
          <w:p>
            <w:pPr>
              <w:pStyle w:val="TablaTexto"/>
            </w:pPr>
            <w:r>
              <w:t xml:space="preserve">Hook dolor A</w:t>
            </w:r>
          </w:p>
        </w:tc>
        <w:tc>
          <w:tcPr>
            <w:tcW w:w="668" w:type="dxa"/>
          </w:tcPr>
          <w:p>
            <w:pPr>
              <w:pStyle w:val="TablaTexto"/>
            </w:pPr>
            <w:r>
              <w:t xml:space="preserve">Amplia 25-55</w:t>
            </w:r>
          </w:p>
        </w:tc>
        <w:tc>
          <w:tcPr>
            <w:tcW w:w="668" w:type="dxa"/>
          </w:tcPr>
          <w:p>
            <w:pPr>
              <w:pStyle w:val="TablaTexto"/>
            </w:pPr>
            <w:r>
              <w:t xml:space="preserve">98,50 USD</w:t>
            </w:r>
          </w:p>
        </w:tc>
        <w:tc>
          <w:tcPr>
            <w:tcW w:w="668" w:type="dxa"/>
          </w:tcPr>
          <w:p>
            <w:pPr>
              <w:pStyle w:val="TablaTexto"/>
            </w:pPr>
            <w:r>
              <w:t xml:space="preserve">38</w:t>
            </w:r>
          </w:p>
        </w:tc>
        <w:tc>
          <w:tcPr>
            <w:tcW w:w="668" w:type="dxa"/>
          </w:tcPr>
          <w:p>
            <w:pPr>
              <w:pStyle w:val="TablaTexto"/>
            </w:pPr>
            <w:r>
              <w:t xml:space="preserve">9</w:t>
            </w:r>
          </w:p>
        </w:tc>
        <w:tc>
          <w:tcPr>
            <w:tcW w:w="668" w:type="dxa"/>
          </w:tcPr>
          <w:p>
            <w:pPr>
              <w:pStyle w:val="TablaTexto"/>
            </w:pPr>
            <w:r>
              <w:t xml:space="preserve">3</w:t>
            </w:r>
          </w:p>
        </w:tc>
        <w:tc>
          <w:tcPr>
            <w:tcW w:w="668" w:type="dxa"/>
          </w:tcPr>
          <w:p>
            <w:pPr>
              <w:pStyle w:val="TablaTexto"/>
            </w:pPr>
            <w:r>
              <w:t xml:space="preserve">3,16 USD</w:t>
            </w:r>
          </w:p>
        </w:tc>
        <w:tc>
          <w:tcPr>
            <w:tcW w:w="668" w:type="dxa"/>
          </w:tcPr>
          <w:p>
            <w:pPr>
              <w:pStyle w:val="TablaTexto"/>
            </w:pPr>
            <w:r>
              <w:t xml:space="preserve">1,3 %</w:t>
            </w:r>
          </w:p>
        </w:tc>
        <w:tc>
          <w:tcPr>
            <w:tcW w:w="668" w:type="dxa"/>
          </w:tcPr>
          <w:p>
            <w:pPr>
              <w:pStyle w:val="TablaTexto"/>
            </w:pPr>
            <w:r>
              <w:t xml:space="preserve">0,24 USD</w:t>
            </w:r>
          </w:p>
        </w:tc>
        <w:tc>
          <w:tcPr>
            <w:tcW w:w="668" w:type="dxa"/>
          </w:tcPr>
          <w:p>
            <w:pPr>
              <w:pStyle w:val="TablaTexto"/>
            </w:pPr>
            <w:r>
              <w:t xml:space="preserve">2,59 USD</w:t>
            </w:r>
          </w:p>
        </w:tc>
        <w:tc>
          <w:tcPr>
            <w:tcW w:w="668" w:type="dxa"/>
          </w:tcPr>
          <w:p>
            <w:pPr>
              <w:pStyle w:val="TablaTexto"/>
            </w:pPr>
            <w:r>
              <w:t xml:space="preserve">23,7 %</w:t>
            </w:r>
          </w:p>
        </w:tc>
        <w:tc>
          <w:tcPr>
            <w:tcW w:w="668" w:type="dxa"/>
          </w:tcPr>
          <w:p>
            <w:pPr>
              <w:pStyle w:val="TablaTexto"/>
            </w:pPr>
            <w:r>
              <w:t xml:space="preserve">10,94 USD</w:t>
            </w:r>
          </w:p>
        </w:tc>
        <w:tc>
          <w:tcPr>
            <w:tcW w:w="668" w:type="dxa"/>
          </w:tcPr>
          <w:p>
            <w:pPr>
              <w:pStyle w:val="TablaTexto"/>
            </w:pPr>
            <w:r>
              <w:t xml:space="preserve">32,83 USD</w:t>
            </w:r>
          </w:p>
        </w:tc>
        <w:tc>
          <w:tcPr>
            <w:tcW w:w="668" w:type="dxa"/>
          </w:tcPr>
          <w:p>
            <w:pPr>
              <w:pStyle w:val="TablaTexto"/>
            </w:pPr>
            <w:r>
              <w:t xml:space="preserve">ESCALAR</w:t>
            </w:r>
          </w:p>
        </w:tc>
      </w:tr>
      <w:tr>
        <w:tc>
          <w:tcPr>
            <w:tcW w:w="668" w:type="dxa"/>
          </w:tcPr>
          <w:p>
            <w:pPr>
              <w:pStyle w:val="TablaTexto"/>
            </w:pPr>
            <w:r>
              <w:t xml:space="preserve">Hook producto B</w:t>
            </w:r>
          </w:p>
        </w:tc>
        <w:tc>
          <w:tcPr>
            <w:tcW w:w="668" w:type="dxa"/>
          </w:tcPr>
          <w:p>
            <w:pPr>
              <w:pStyle w:val="TablaTexto"/>
            </w:pPr>
            <w:r>
              <w:t xml:space="preserve">Intereses afines</w:t>
            </w:r>
          </w:p>
        </w:tc>
        <w:tc>
          <w:tcPr>
            <w:tcW w:w="668" w:type="dxa"/>
          </w:tcPr>
          <w:p>
            <w:pPr>
              <w:pStyle w:val="TablaTexto"/>
            </w:pPr>
            <w:r>
              <w:t xml:space="preserve">101,20 USD</w:t>
            </w:r>
          </w:p>
        </w:tc>
        <w:tc>
          <w:tcPr>
            <w:tcW w:w="668" w:type="dxa"/>
          </w:tcPr>
          <w:p>
            <w:pPr>
              <w:pStyle w:val="TablaTexto"/>
            </w:pPr>
            <w:r>
              <w:t xml:space="preserve">21</w:t>
            </w:r>
          </w:p>
        </w:tc>
        <w:tc>
          <w:tcPr>
            <w:tcW w:w="668" w:type="dxa"/>
          </w:tcPr>
          <w:p>
            <w:pPr>
              <w:pStyle w:val="TablaTexto"/>
            </w:pPr>
            <w:r>
              <w:t xml:space="preserve">2</w:t>
            </w:r>
          </w:p>
        </w:tc>
        <w:tc>
          <w:tcPr>
            <w:tcW w:w="668" w:type="dxa"/>
          </w:tcPr>
          <w:p>
            <w:pPr>
              <w:pStyle w:val="TablaTexto"/>
            </w:pPr>
            <w:r>
              <w:t xml:space="preserve">0</w:t>
            </w:r>
          </w:p>
        </w:tc>
        <w:tc>
          <w:tcPr>
            <w:tcW w:w="668" w:type="dxa"/>
          </w:tcPr>
          <w:p>
            <w:pPr>
              <w:pStyle w:val="TablaTexto"/>
            </w:pPr>
            <w:r>
              <w:t xml:space="preserve">3,50 USD</w:t>
            </w:r>
          </w:p>
        </w:tc>
        <w:tc>
          <w:tcPr>
            <w:tcW w:w="668" w:type="dxa"/>
          </w:tcPr>
          <w:p>
            <w:pPr>
              <w:pStyle w:val="TablaTexto"/>
            </w:pPr>
            <w:r>
              <w:t xml:space="preserve">0,7 %</w:t>
            </w:r>
          </w:p>
        </w:tc>
        <w:tc>
          <w:tcPr>
            <w:tcW w:w="668" w:type="dxa"/>
          </w:tcPr>
          <w:p>
            <w:pPr>
              <w:pStyle w:val="TablaTexto"/>
            </w:pPr>
            <w:r>
              <w:t xml:space="preserve">0,53 USD</w:t>
            </w:r>
          </w:p>
        </w:tc>
        <w:tc>
          <w:tcPr>
            <w:tcW w:w="668" w:type="dxa"/>
          </w:tcPr>
          <w:p>
            <w:pPr>
              <w:pStyle w:val="TablaTexto"/>
            </w:pPr>
            <w:r>
              <w:t xml:space="preserve">4,82 USD</w:t>
            </w:r>
          </w:p>
        </w:tc>
        <w:tc>
          <w:tcPr>
            <w:tcW w:w="668" w:type="dxa"/>
          </w:tcPr>
          <w:p>
            <w:pPr>
              <w:pStyle w:val="TablaTexto"/>
            </w:pPr>
            <w:r>
              <w:t xml:space="preserve">9,5 %</w:t>
            </w:r>
          </w:p>
        </w:tc>
        <w:tc>
          <w:tcPr>
            <w:tcW w:w="668" w:type="dxa"/>
          </w:tcPr>
          <w:p>
            <w:pPr>
              <w:pStyle w:val="TablaTexto"/>
            </w:pPr>
            <w:r>
              <w:t xml:space="preserve">50,60 USD</w:t>
            </w:r>
          </w:p>
        </w:tc>
        <w:tc>
          <w:tcPr>
            <w:tcW w:w="668" w:type="dxa"/>
          </w:tcPr>
          <w:p>
            <w:pPr>
              <w:pStyle w:val="TablaTexto"/>
            </w:pPr>
            <w:r>
              <w:t xml:space="preserve">—</w:t>
            </w:r>
          </w:p>
        </w:tc>
        <w:tc>
          <w:tcPr>
            <w:tcW w:w="668" w:type="dxa"/>
          </w:tcPr>
          <w:p>
            <w:pPr>
              <w:pStyle w:val="TablaTexto"/>
            </w:pPr>
            <w:r>
              <w:t xml:space="preserve">APAGAR</w:t>
            </w:r>
          </w:p>
        </w:tc>
      </w:tr>
    </w:tbl>
    <w:p>
      <w:pPr>
        <w:spacing w:after="60"/>
      </w:pPr>
    </w:p>
    <w:p>
      <w:pPr>
        <w:pStyle w:val="Heading1"/>
      </w:pPr>
      <w:r>
        <w:t xml:space="preserve">1. Qué funcionó</w:t>
      </w:r>
    </w:p>
    <w:p>
      <w:pPr>
        <w:pStyle w:val="Vineta"/>
        <w:numPr>
          <w:ilvl w:val="0"/>
          <w:numId w:val="1"/>
        </w:numPr>
      </w:pPr>
      <w:r>
        <w:rPr>
          <w:b/>
        </w:rPr>
        <w:t xml:space="preserve">Hook dolor A (video testimonio, audiencia amplia):</w:t>
      </w:r>
      <w:r>
        <w:t xml:space="preserve"> CPL calificado de </w:t>
      </w:r>
      <w:r>
        <w:rPr>
          <w:b/>
        </w:rPr>
        <w:t xml:space="preserve">10,94 USD</w:t>
      </w:r>
      <w:r>
        <w:t xml:space="preserve">, el 27 % del objetivo de 40 USD, con 9 calificados. Es el único anuncio que generó oportunidades (3) y una cotización.</w:t>
      </w:r>
    </w:p>
    <w:p>
      <w:pPr>
        <w:pStyle w:val="Vineta"/>
        <w:numPr>
          <w:ilvl w:val="0"/>
          <w:numId w:val="1"/>
        </w:numPr>
      </w:pPr>
      <w:r>
        <w:t xml:space="preserve">Su CTR (1,3 %) duplica al de B (0,7 %) y su CPC (0,24 USD) es menos de la mitad. El mensaje de dolor atrae más clics y más baratos.</w:t>
      </w:r>
    </w:p>
    <w:p>
      <w:pPr>
        <w:pStyle w:val="Vineta"/>
        <w:numPr>
          <w:ilvl w:val="0"/>
          <w:numId w:val="1"/>
        </w:numPr>
      </w:pPr>
      <w:r>
        <w:t xml:space="preserve">Su tasa de calificación (23,7 %) está dentro del rango B2B (15–35 %): el creativo filtra bien sin segmentar la audiencia.</w:t>
      </w:r>
    </w:p>
    <w:p>
      <w:pPr>
        <w:pStyle w:val="Vineta"/>
        <w:numPr>
          <w:ilvl w:val="0"/>
          <w:numId w:val="1"/>
        </w:numPr>
      </w:pPr>
      <w:r>
        <w:t xml:space="preserve">En la cuenta completa, el CPL calificado (18,15 USD) queda muy por debajo del objetivo.</w:t>
      </w:r>
    </w:p>
    <w:p>
      <w:pPr>
        <w:pStyle w:val="Heading1"/>
      </w:pPr>
      <w:r>
        <w:t xml:space="preserve">2. Qué empeoró</w:t>
      </w:r>
    </w:p>
    <w:p>
      <w:pPr>
        <w:pStyle w:val="Vineta"/>
        <w:numPr>
          <w:ilvl w:val="0"/>
          <w:numId w:val="1"/>
        </w:numPr>
      </w:pPr>
      <w:r>
        <w:rPr>
          <w:b/>
        </w:rPr>
        <w:t xml:space="preserve">Hook producto B (video de producto, audiencia de intereses):</w:t>
      </w:r>
      <w:r>
        <w:t xml:space="preserve"> gastó lo mismo que A (101,20 USD) y trajo menos de la mitad de conversaciones (21). Solo el </w:t>
      </w:r>
      <w:r>
        <w:rPr>
          <w:b/>
        </w:rPr>
        <w:t xml:space="preserve">9,5 %</w:t>
      </w:r>
      <w:r>
        <w:t xml:space="preserve"> fue calificado (2 de 21), por debajo del umbral mínimo del 10 %.</w:t>
      </w:r>
    </w:p>
    <w:p>
      <w:pPr>
        <w:pStyle w:val="Vineta"/>
        <w:numPr>
          <w:ilvl w:val="0"/>
          <w:numId w:val="1"/>
        </w:numPr>
      </w:pPr>
      <w:r>
        <w:t xml:space="preserve">Su CPL calificado (50,60 USD) supera el objetivo en un 27 % y no generó ninguna oportunidad.</w:t>
      </w:r>
    </w:p>
    <w:p>
      <w:pPr>
        <w:pStyle w:val="Vineta"/>
        <w:numPr>
          <w:ilvl w:val="0"/>
          <w:numId w:val="1"/>
        </w:numPr>
      </w:pPr>
      <w:r>
        <w:t xml:space="preserve">En el embudo total, ninguna de las 3 oportunidades cerró todavía (1 cotización, 0 ventas). Con una sola semana de datos es normal en SaaS B2B, pero todavía no permite medir el CAC.</w:t>
      </w:r>
    </w:p>
    <w:p>
      <w:pPr>
        <w:pStyle w:val="Heading1"/>
      </w:pPr>
      <w:r>
        <w:t xml:space="preserve">3. Por qué posiblemente ocurrió</w:t>
      </w:r>
    </w:p>
    <w:p>
      <w:pPr>
        <w:pStyle w:val="Vineta"/>
        <w:numPr>
          <w:ilvl w:val="0"/>
          <w:numId w:val="1"/>
        </w:numPr>
      </w:pPr>
      <w:r>
        <w:rPr>
          <w:b/>
        </w:rPr>
        <w:t xml:space="preserve">Mensaje:</w:t>
      </w:r>
      <w:r>
        <w:t xml:space="preserve"> "¿Sigues perdiendo tiempo con X?" habla de un problema que el dueño de la pyme reconoce. "Conoce nuestro nuevo producto" no le dice a nadie por qué debería importarle, así que atrae curiosos.</w:t>
      </w:r>
    </w:p>
    <w:p>
      <w:pPr>
        <w:pStyle w:val="Vineta"/>
        <w:numPr>
          <w:ilvl w:val="0"/>
          <w:numId w:val="1"/>
        </w:numPr>
      </w:pPr>
      <w:r>
        <w:rPr>
          <w:b/>
        </w:rPr>
        <w:t xml:space="preserve">Formato:</w:t>
      </w:r>
      <w:r>
        <w:t xml:space="preserve"> un testimonio aporta prueba social, algo que pesa al elegir un software de facturación (confianza, cumplimiento fiscal). Un video del producto sin contexto no aporta esa prueba.</w:t>
      </w:r>
    </w:p>
    <w:p>
      <w:pPr>
        <w:pStyle w:val="Vineta"/>
        <w:numPr>
          <w:ilvl w:val="0"/>
          <w:numId w:val="1"/>
        </w:numPr>
      </w:pPr>
      <w:r>
        <w:rPr>
          <w:b/>
        </w:rPr>
        <w:t xml:space="preserve">Audiencia:</w:t>
      </w:r>
      <w:r>
        <w:t xml:space="preserve"> es posible que "intereses afines" reúna a estudiantes, contadores independientes o curiosos de tecnología en vez de dueños o administradores de pymes. Además su CPM fue más caro (3,50 contra 3,16 USD).</w:t>
      </w:r>
    </w:p>
    <w:p>
      <w:pPr>
        <w:pStyle w:val="Vineta"/>
        <w:numPr>
          <w:ilvl w:val="0"/>
          <w:numId w:val="1"/>
        </w:numPr>
      </w:pPr>
      <w:r>
        <w:rPr>
          <w:b/>
        </w:rPr>
        <w:t xml:space="preserve">Advertencia de método:</w:t>
      </w:r>
      <w:r>
        <w:t xml:space="preserve"> A y B cambian tres variables a la vez (audiencia, creativo y hook). Sabemos que la </w:t>
      </w:r>
      <w:r>
        <w:rPr>
          <w:b/>
        </w:rPr>
        <w:t xml:space="preserve">combinación A</w:t>
      </w:r>
      <w:r>
        <w:t xml:space="preserve"> gana, pero no qué variable explica la diferencia. El test de la sección 7 lo aclara.</w:t>
      </w:r>
    </w:p>
    <w:p>
      <w:pPr>
        <w:pStyle w:val="Vineta"/>
        <w:numPr>
          <w:ilvl w:val="0"/>
          <w:numId w:val="1"/>
        </w:numPr>
      </w:pPr>
      <w:r>
        <w:rPr>
          <w:b/>
        </w:rPr>
        <w:t xml:space="preserve">Tamaño de muestra:</w:t>
      </w:r>
      <w:r>
        <w:t xml:space="preserve"> 9 calificados en 7 días es suficiente para decidir según las reglas, pero no para tener certeza. Por eso el escalado es gradual.</w:t>
      </w:r>
    </w:p>
    <w:p>
      <w:pPr>
        <w:pStyle w:val="Heading1"/>
      </w:pPr>
      <w:r>
        <w:t xml:space="preserve">4. Hipótesis a probar</w:t>
      </w:r>
    </w:p>
    <w:p>
      <w:pPr>
        <w:pStyle w:val="Vineta"/>
        <w:numPr>
          <w:ilvl w:val="0"/>
          <w:numId w:val="1"/>
        </w:numPr>
      </w:pPr>
      <w:r>
        <w:rPr>
          <w:b/>
        </w:rPr>
        <w:t xml:space="preserve">H1 (audiencia):</w:t>
      </w:r>
      <w:r>
        <w:t xml:space="preserve"> si el problema de B fue el creativo y no la audiencia, el video testimonio con hook de dolor en "Intereses afines" logrará un CPL calificado ≤ 40 USD y un % de calificados ≥ 15 %.</w:t>
      </w:r>
    </w:p>
    <w:p>
      <w:pPr>
        <w:pStyle w:val="Vineta"/>
        <w:numPr>
          <w:ilvl w:val="0"/>
          <w:numId w:val="1"/>
        </w:numPr>
      </w:pPr>
      <w:r>
        <w:rPr>
          <w:b/>
        </w:rPr>
        <w:t xml:space="preserve">H2 (siguiente, después de H1):</w:t>
      </w:r>
      <w:r>
        <w:t xml:space="preserve"> otro dolor concreto de la facturación en pymes (por ejemplo, errores o rechazos de facturas electrónicas, o el tiempo perdido a fin de mes) puede mejorar el CPL calificado del ganador en al menos un 30 %.</w:t>
      </w:r>
    </w:p>
    <w:p>
      <w:pPr>
        <w:pStyle w:val="Heading1"/>
      </w:pPr>
      <w:r>
        <w:t xml:space="preserve">5. Decisiones</w:t>
      </w:r>
    </w:p>
    <w:tbl>
      <w:tblPr>
        <w:tblStyle w:val="TablaMarketing"/>
        <w:tblW w:w="5000" w:type="pct"/>
        <w:tblLook w:val="04A0" w:firstRow="1" w:lastRow="0" w:firstColumn="0" w:lastColumn="0" w:noHBand="0" w:noVBand="1"/>
      </w:tblPr>
      <w:tblGrid>
        <w:gridCol w:w="3120"/>
        <w:gridCol w:w="3120"/>
        <w:gridCol w:w="3120"/>
      </w:tblGrid>
      <w:tr>
        <w:trPr>
          <w:tblHeader/>
        </w:trPr>
        <w:tc>
          <w:tcPr>
            <w:tcW w:w="3120" w:type="dxa"/>
            <w:shd w:val="clear" w:color="auto" w:fill="D9E2F3"/>
          </w:tcPr>
          <w:p>
            <w:pPr>
              <w:pStyle w:val="TablaTexto"/>
            </w:pPr>
            <w:r>
              <w:rPr>
                <w:b/>
              </w:rPr>
              <w:t xml:space="preserve">Elemento</w:t>
            </w:r>
          </w:p>
        </w:tc>
        <w:tc>
          <w:tcPr>
            <w:tcW w:w="3120" w:type="dxa"/>
            <w:shd w:val="clear" w:color="auto" w:fill="D9E2F3"/>
          </w:tcPr>
          <w:p>
            <w:pPr>
              <w:pStyle w:val="TablaTexto"/>
            </w:pPr>
            <w:r>
              <w:rPr>
                <w:b/>
              </w:rPr>
              <w:t xml:space="preserve">Acción (APAGAR / MANTENER / ESCALAR)</w:t>
            </w:r>
          </w:p>
        </w:tc>
        <w:tc>
          <w:tcPr>
            <w:tcW w:w="3120" w:type="dxa"/>
            <w:shd w:val="clear" w:color="auto" w:fill="D9E2F3"/>
          </w:tcPr>
          <w:p>
            <w:pPr>
              <w:pStyle w:val="TablaTexto"/>
            </w:pPr>
            <w:r>
              <w:rPr>
                <w:b/>
              </w:rPr>
              <w:t xml:space="preserve">Motivo (dato)</w:t>
            </w:r>
          </w:p>
        </w:tc>
      </w:tr>
      <w:tr>
        <w:tc>
          <w:tcPr>
            <w:tcW w:w="3120" w:type="dxa"/>
          </w:tcPr>
          <w:p>
            <w:pPr>
              <w:pStyle w:val="TablaTexto"/>
            </w:pPr>
            <w:r>
              <w:t xml:space="preserve">Hook producto B · conjunto Intereses</w:t>
            </w:r>
          </w:p>
        </w:tc>
        <w:tc>
          <w:tcPr>
            <w:tcW w:w="3120" w:type="dxa"/>
          </w:tcPr>
          <w:p>
            <w:pPr>
              <w:pStyle w:val="TablaTexto"/>
            </w:pPr>
            <w:r>
              <w:t xml:space="preserve">APAGAR</w:t>
            </w:r>
          </w:p>
        </w:tc>
        <w:tc>
          <w:tcPr>
            <w:tcW w:w="3120" w:type="dxa"/>
          </w:tcPr>
          <w:p>
            <w:pPr>
              <w:pStyle w:val="TablaTexto"/>
            </w:pPr>
            <w:r>
              <w:t xml:space="preserve">9,5 % de calificados con 21 conversaciones (umbral: &lt; 10 % con ≥ 20); CPLc 50,60 USD &gt; 40 USD objetivo; 0 oportunidades</w:t>
            </w:r>
          </w:p>
        </w:tc>
      </w:tr>
      <w:tr>
        <w:tc>
          <w:tcPr>
            <w:tcW w:w="3120" w:type="dxa"/>
          </w:tcPr>
          <w:p>
            <w:pPr>
              <w:pStyle w:val="TablaTexto"/>
            </w:pPr>
            <w:r>
              <w:t xml:space="preserve">Hook dolor A · conjunto Amplia</w:t>
            </w:r>
          </w:p>
        </w:tc>
        <w:tc>
          <w:tcPr>
            <w:tcW w:w="3120" w:type="dxa"/>
          </w:tcPr>
          <w:p>
            <w:pPr>
              <w:pStyle w:val="TablaTexto"/>
            </w:pPr>
            <w:r>
              <w:t xml:space="preserve">ESCALAR (+20 % cada 48–72 h)</w:t>
            </w:r>
          </w:p>
        </w:tc>
        <w:tc>
          <w:tcPr>
            <w:tcW w:w="3120" w:type="dxa"/>
          </w:tcPr>
          <w:p>
            <w:pPr>
              <w:pStyle w:val="TablaTexto"/>
            </w:pPr>
            <w:r>
              <w:t xml:space="preserve">CPLc 10,94 USD ≤ 80 % del objetivo (32 USD) con 9 calificados (mínimo 5); 3 oportunidades</w:t>
            </w:r>
          </w:p>
        </w:tc>
      </w:tr>
      <w:tr>
        <w:tc>
          <w:tcPr>
            <w:tcW w:w="3120" w:type="dxa"/>
          </w:tcPr>
          <w:p>
            <w:pPr>
              <w:pStyle w:val="TablaTexto"/>
            </w:pPr>
            <w:r>
              <w:t xml:space="preserve">Campaña PROSP PRODUCTO-A WA</w:t>
            </w:r>
          </w:p>
        </w:tc>
        <w:tc>
          <w:tcPr>
            <w:tcW w:w="3120" w:type="dxa"/>
          </w:tcPr>
          <w:p>
            <w:pPr>
              <w:pStyle w:val="TablaTexto"/>
            </w:pPr>
            <w:r>
              <w:t xml:space="preserve">MANTENER estructura</w:t>
            </w:r>
          </w:p>
        </w:tc>
        <w:tc>
          <w:tcPr>
            <w:tcW w:w="3120" w:type="dxa"/>
          </w:tcPr>
          <w:p>
            <w:pPr>
              <w:pStyle w:val="TablaTexto"/>
            </w:pPr>
            <w:r>
              <w:t xml:space="preserve">Canal WhatsApp y objetivo funcionan; no se cambia nada más en el conjunto ganador</w:t>
            </w:r>
          </w:p>
        </w:tc>
      </w:tr>
    </w:tbl>
    <w:p>
      <w:pPr>
        <w:spacing w:after="60"/>
      </w:pPr>
    </w:p>
    <w:p>
      <w:pPr>
        <w:pStyle w:val="Heading1"/>
      </w:pPr>
      <w:r>
        <w:t xml:space="preserve">6. Movimiento de presupuesto</w:t>
      </w:r>
    </w:p>
    <w:p>
      <w:r>
        <w:t xml:space="preserve">Presupuesto actual: 15 USD/día por conjunto (105 USD/semana cada uno), 30 USD/día en total.</w:t>
      </w:r>
    </w:p>
    <w:tbl>
      <w:tblPr>
        <w:tblStyle w:val="TablaMarketing"/>
        <w:tblW w:w="5000" w:type="pct"/>
        <w:tblLook w:val="04A0" w:firstRow="1" w:lastRow="0" w:firstColumn="0" w:lastColumn="0" w:noHBand="0" w:noVBand="1"/>
      </w:tblPr>
      <w:tblGrid>
        <w:gridCol w:w="2340"/>
        <w:gridCol w:w="2340"/>
        <w:gridCol w:w="2340"/>
        <w:gridCol w:w="2340"/>
      </w:tblGrid>
      <w:tr>
        <w:trPr>
          <w:tblHeader/>
        </w:trPr>
        <w:tc>
          <w:tcPr>
            <w:tcW w:w="2340" w:type="dxa"/>
            <w:shd w:val="clear" w:color="auto" w:fill="D9E2F3"/>
          </w:tcPr>
          <w:p>
            <w:pPr>
              <w:pStyle w:val="TablaTexto"/>
            </w:pPr>
            <w:r>
              <w:rPr>
                <w:b/>
              </w:rPr>
              <w:t xml:space="preserve">Desde</w:t>
            </w:r>
          </w:p>
        </w:tc>
        <w:tc>
          <w:tcPr>
            <w:tcW w:w="2340" w:type="dxa"/>
            <w:shd w:val="clear" w:color="auto" w:fill="D9E2F3"/>
          </w:tcPr>
          <w:p>
            <w:pPr>
              <w:pStyle w:val="TablaTexto"/>
            </w:pPr>
            <w:r>
              <w:rPr>
                <w:b/>
              </w:rPr>
              <w:t xml:space="preserve">Hacia</w:t>
            </w:r>
          </w:p>
        </w:tc>
        <w:tc>
          <w:tcPr>
            <w:tcW w:w="2340" w:type="dxa"/>
            <w:shd w:val="clear" w:color="auto" w:fill="D9E2F3"/>
          </w:tcPr>
          <w:p>
            <w:pPr>
              <w:pStyle w:val="TablaTexto"/>
            </w:pPr>
            <w:r>
              <w:rPr>
                <w:b/>
              </w:rPr>
              <w:t xml:space="preserve">Monto/día</w:t>
            </w:r>
          </w:p>
        </w:tc>
        <w:tc>
          <w:tcPr>
            <w:tcW w:w="2340" w:type="dxa"/>
            <w:shd w:val="clear" w:color="auto" w:fill="D9E2F3"/>
          </w:tcPr>
          <w:p>
            <w:pPr>
              <w:pStyle w:val="TablaTexto"/>
            </w:pPr>
            <w:r>
              <w:rPr>
                <w:b/>
              </w:rPr>
              <w:t xml:space="preserve">Motivo</w:t>
            </w:r>
          </w:p>
        </w:tc>
      </w:tr>
      <w:tr>
        <w:tc>
          <w:tcPr>
            <w:tcW w:w="2340" w:type="dxa"/>
          </w:tcPr>
          <w:p>
            <w:pPr>
              <w:pStyle w:val="TablaTexto"/>
            </w:pPr>
            <w:r>
              <w:t xml:space="preserve">Hook producto B (apagado)</w:t>
            </w:r>
          </w:p>
        </w:tc>
        <w:tc>
          <w:tcPr>
            <w:tcW w:w="2340" w:type="dxa"/>
          </w:tcPr>
          <w:p>
            <w:pPr>
              <w:pStyle w:val="TablaTexto"/>
            </w:pPr>
            <w:r>
              <w:t xml:space="preserve">Hook dolor A · Amplia</w:t>
            </w:r>
          </w:p>
        </w:tc>
        <w:tc>
          <w:tcPr>
            <w:tcW w:w="2340" w:type="dxa"/>
          </w:tcPr>
          <w:p>
            <w:pPr>
              <w:pStyle w:val="TablaTexto"/>
            </w:pPr>
            <w:r>
              <w:t xml:space="preserve">+3 USD (15 → 18 USD/día, +20 %)</w:t>
            </w:r>
          </w:p>
        </w:tc>
        <w:tc>
          <w:tcPr>
            <w:tcW w:w="2340" w:type="dxa"/>
          </w:tcPr>
          <w:p>
            <w:pPr>
              <w:pStyle w:val="TablaTexto"/>
            </w:pPr>
            <w:r>
              <w:t xml:space="preserve">Escalado vertical del ganador sin reiniciar el aprendizaje</w:t>
            </w:r>
          </w:p>
        </w:tc>
      </w:tr>
      <w:tr>
        <w:tc>
          <w:tcPr>
            <w:tcW w:w="2340" w:type="dxa"/>
          </w:tcPr>
          <w:p>
            <w:pPr>
              <w:pStyle w:val="TablaTexto"/>
            </w:pPr>
            <w:r>
              <w:t xml:space="preserve">Hook producto B (apagado)</w:t>
            </w:r>
          </w:p>
        </w:tc>
        <w:tc>
          <w:tcPr>
            <w:tcW w:w="2340" w:type="dxa"/>
          </w:tcPr>
          <w:p>
            <w:pPr>
              <w:pStyle w:val="TablaTexto"/>
            </w:pPr>
            <w:r>
              <w:t xml:space="preserve">Nuevo conjunto de test: Intereses + Hook dolor A</w:t>
            </w:r>
          </w:p>
        </w:tc>
        <w:tc>
          <w:tcPr>
            <w:tcW w:w="2340" w:type="dxa"/>
          </w:tcPr>
          <w:p>
            <w:pPr>
              <w:pStyle w:val="TablaTexto"/>
            </w:pPr>
            <w:r>
              <w:t xml:space="preserve">12 USD/día</w:t>
            </w:r>
          </w:p>
        </w:tc>
        <w:tc>
          <w:tcPr>
            <w:tcW w:w="2340" w:type="dxa"/>
          </w:tcPr>
          <w:p>
            <w:pPr>
              <w:pStyle w:val="TablaTexto"/>
            </w:pPr>
            <w:r>
              <w:t xml:space="preserve">Test H1 con una sola variable (audiencia)</w:t>
            </w:r>
          </w:p>
        </w:tc>
      </w:tr>
      <w:tr>
        <w:tc>
          <w:tcPr>
            <w:tcW w:w="2340" w:type="dxa"/>
          </w:tcPr>
          <w:p>
            <w:pPr>
              <w:pStyle w:val="TablaTexto"/>
            </w:pPr>
            <w:r>
              <w:t xml:space="preserve">Escalado día 3 (si CPLc ≤ 32 USD)</w:t>
            </w:r>
          </w:p>
        </w:tc>
        <w:tc>
          <w:tcPr>
            <w:tcW w:w="2340" w:type="dxa"/>
          </w:tcPr>
          <w:p>
            <w:pPr>
              <w:pStyle w:val="TablaTexto"/>
            </w:pPr>
            <w:r>
              <w:t xml:space="preserve">Hook dolor A · Amplia</w:t>
            </w:r>
          </w:p>
        </w:tc>
        <w:tc>
          <w:tcPr>
            <w:tcW w:w="2340" w:type="dxa"/>
          </w:tcPr>
          <w:p>
            <w:pPr>
              <w:pStyle w:val="TablaTexto"/>
            </w:pPr>
            <w:r>
              <w:t xml:space="preserve">+3,60 USD (18 → 21,60 USD/día)</w:t>
            </w:r>
          </w:p>
        </w:tc>
        <w:tc>
          <w:tcPr>
            <w:tcW w:w="2340" w:type="dxa"/>
          </w:tcPr>
          <w:p>
            <w:pPr>
              <w:pStyle w:val="TablaTexto"/>
            </w:pPr>
            <w:r>
              <w:t xml:space="preserve">Segundo tramo del +20 %</w:t>
            </w:r>
          </w:p>
        </w:tc>
      </w:tr>
      <w:tr>
        <w:tc>
          <w:tcPr>
            <w:tcW w:w="2340" w:type="dxa"/>
          </w:tcPr>
          <w:p>
            <w:pPr>
              <w:pStyle w:val="TablaTexto"/>
            </w:pPr>
            <w:r>
              <w:t xml:space="preserve">Escalado día 6 (si CPLc ≤ 32 USD)</w:t>
            </w:r>
          </w:p>
        </w:tc>
        <w:tc>
          <w:tcPr>
            <w:tcW w:w="2340" w:type="dxa"/>
          </w:tcPr>
          <w:p>
            <w:pPr>
              <w:pStyle w:val="TablaTexto"/>
            </w:pPr>
            <w:r>
              <w:t xml:space="preserve">Hook dolor A · Amplia</w:t>
            </w:r>
          </w:p>
        </w:tc>
        <w:tc>
          <w:tcPr>
            <w:tcW w:w="2340" w:type="dxa"/>
          </w:tcPr>
          <w:p>
            <w:pPr>
              <w:pStyle w:val="TablaTexto"/>
            </w:pPr>
            <w:r>
              <w:t xml:space="preserve">+4,30 USD (21,60 → 25,90 USD/día)</w:t>
            </w:r>
          </w:p>
        </w:tc>
        <w:tc>
          <w:tcPr>
            <w:tcW w:w="2340" w:type="dxa"/>
          </w:tcPr>
          <w:p>
            <w:pPr>
              <w:pStyle w:val="TablaTexto"/>
            </w:pPr>
            <w:r>
              <w:t xml:space="preserve">Tercer tramo del +20 %</w:t>
            </w:r>
          </w:p>
        </w:tc>
      </w:tr>
    </w:tbl>
    <w:p>
      <w:pPr>
        <w:spacing w:after="60"/>
      </w:pPr>
    </w:p>
    <w:p>
      <w:pPr>
        <w:pStyle w:val="Vineta"/>
        <w:numPr>
          <w:ilvl w:val="0"/>
          <w:numId w:val="1"/>
        </w:numPr>
      </w:pPr>
      <w:r>
        <w:rPr>
          <w:b/>
        </w:rPr>
        <w:t xml:space="preserve">Semana 1:</w:t>
      </w:r>
      <w:r>
        <w:t xml:space="preserve"> 30 USD/día (sin gasto adicional). </w:t>
      </w:r>
      <w:r>
        <w:rPr>
          <w:b/>
        </w:rPr>
        <w:t xml:space="preserve">Semana 2:</w:t>
      </w:r>
      <w:r>
        <w:t xml:space="preserve"> hasta unos 38 USD/día si A mantiene el CPLc ≤ 32 USD.</w:t>
      </w:r>
    </w:p>
    <w:p>
      <w:pPr>
        <w:pStyle w:val="Vineta"/>
        <w:numPr>
          <w:ilvl w:val="0"/>
          <w:numId w:val="1"/>
        </w:numPr>
      </w:pPr>
      <w:r>
        <w:rPr>
          <w:b/>
        </w:rPr>
        <w:t xml:space="preserve">Freno:</w:t>
      </w:r>
      <w:r>
        <w:t xml:space="preserve"> si el CPLc de A sube por encima de 32 USD durante 3 días seguidos, o la frecuencia pasa de 4 con el costo subiendo más del 30 %, se congela el escalado y se rota el creativo.</w:t>
      </w:r>
    </w:p>
    <w:p>
      <w:pPr>
        <w:pStyle w:val="Heading1"/>
      </w:pPr>
      <w:r>
        <w:t xml:space="preserve">7. Nuevo test</w:t>
      </w:r>
    </w:p>
    <w:p>
      <w:pPr>
        <w:pStyle w:val="Vineta"/>
        <w:numPr>
          <w:ilvl w:val="0"/>
          <w:numId w:val="1"/>
        </w:numPr>
      </w:pPr>
      <w:r>
        <w:rPr>
          <w:b/>
        </w:rPr>
        <w:t xml:space="preserve">Variable:</w:t>
      </w:r>
      <w:r>
        <w:t xml:space="preserve"> audiencia (el creativo no cambia).</w:t>
      </w:r>
    </w:p>
    <w:p>
      <w:pPr>
        <w:pStyle w:val="Vineta"/>
        <w:numPr>
          <w:ilvl w:val="0"/>
          <w:numId w:val="1"/>
        </w:numPr>
      </w:pPr>
      <w:r>
        <w:rPr>
          <w:b/>
        </w:rPr>
        <w:t xml:space="preserve">Variante A (control):</w:t>
      </w:r>
      <w:r>
        <w:t xml:space="preserve"> conjunto Amplia 25-55 + video testimonio "Hook dolor A".</w:t>
      </w:r>
    </w:p>
    <w:p>
      <w:pPr>
        <w:pStyle w:val="Vineta"/>
        <w:numPr>
          <w:ilvl w:val="0"/>
          <w:numId w:val="1"/>
        </w:numPr>
      </w:pPr>
      <w:r>
        <w:rPr>
          <w:b/>
        </w:rPr>
        <w:t xml:space="preserve">Variante B:</w:t>
      </w:r>
      <w:r>
        <w:t xml:space="preserve"> conjunto Intereses afines + el mismo anuncio (mismo video, hook y copy).</w:t>
      </w:r>
    </w:p>
    <w:p>
      <w:pPr>
        <w:pStyle w:val="Vineta"/>
        <w:numPr>
          <w:ilvl w:val="0"/>
          <w:numId w:val="1"/>
        </w:numPr>
      </w:pPr>
      <w:r>
        <w:rPr>
          <w:b/>
        </w:rPr>
        <w:t xml:space="preserve">Presupuesto:</w:t>
      </w:r>
      <w:r>
        <w:t xml:space="preserve"> 12 USD/día para la variante B. El control ya está financiado por el escalado.</w:t>
      </w:r>
    </w:p>
    <w:p>
      <w:pPr>
        <w:pStyle w:val="Vineta"/>
        <w:numPr>
          <w:ilvl w:val="0"/>
          <w:numId w:val="1"/>
        </w:numPr>
      </w:pPr>
      <w:r>
        <w:rPr>
          <w:b/>
        </w:rPr>
        <w:t xml:space="preserve">Duración:</w:t>
      </w:r>
      <w:r>
        <w:t xml:space="preserve"> 7 días. Si la variante B tiene menos de 5 calificados al día 7, se extiende a 14 días.</w:t>
      </w:r>
    </w:p>
    <w:p>
      <w:pPr>
        <w:pStyle w:val="Vineta"/>
        <w:numPr>
          <w:ilvl w:val="0"/>
          <w:numId w:val="1"/>
        </w:numPr>
      </w:pPr>
      <w:r>
        <w:rPr>
          <w:b/>
        </w:rPr>
        <w:t xml:space="preserve">Métrica de decisión (definida antes del test):</w:t>
      </w:r>
      <w:r>
        <w:t xml:space="preserve"> CPL calificado. Si B supera al control por ≥ 30 % con ≥ 5 calificados, se escala en horizontal. Si su CPLc pasa de 40 USD, o supera los 120 USD de gasto sin calificados, se apaga y se confirma que conviene la audiencia amplia.</w:t>
      </w:r>
    </w:p>
    <w:p>
      <w:pPr>
        <w:pStyle w:val="Heading1"/>
      </w:pPr>
      <w:r>
        <w:t xml:space="preserve">Registro de aprendizaje</w:t>
      </w:r>
    </w:p>
    <w:p>
      <w:pPr>
        <w:pStyle w:val="Vineta"/>
        <w:numPr>
          <w:ilvl w:val="0"/>
          <w:numId w:val="1"/>
        </w:numPr>
      </w:pPr>
      <w:r>
        <w:rPr>
          <w:b/>
        </w:rPr>
        <w:t xml:space="preserve">Filas agregadas al historial</w:t>
      </w:r>
      <w:r>
        <w:t xml:space="preserve"> (</w:t>
      </w:r>
      <w:r>
        <w:rPr>
          <w:rFonts w:ascii="Consolas" w:hAnsi="Consolas" w:cs="Consolas"/>
        </w:rPr>
        <w:t xml:space="preserve">historial-campanas.xlsx</w:t>
      </w:r>
      <w:r>
        <w:t xml:space="preserve">): 2. Hook dolor A = GANADOR, Hook producto B = PERDEDOR.</w:t>
      </w:r>
    </w:p>
    <w:p>
      <w:pPr>
        <w:pStyle w:val="Vineta"/>
        <w:numPr>
          <w:ilvl w:val="0"/>
          <w:numId w:val="1"/>
        </w:numPr>
      </w:pPr>
      <w:r>
        <w:rPr>
          <w:b/>
        </w:rPr>
        <w:t xml:space="preserve">Aprendizaje:</w:t>
      </w:r>
      <w:r>
        <w:t xml:space="preserve"> el video testimonio con hook de dolor en audiencia amplia logra un CPL calificado 4,6 veces menor que el video de producto en intereses (10,94 contra 50,60 USD). La causa todavía no está aislada: son tres variables distintas.</w:t>
      </w:r>
    </w:p>
    <w:p>
      <w:pPr>
        <w:pStyle w:val="Vineta"/>
        <w:numPr>
          <w:ilvl w:val="0"/>
          <w:numId w:val="1"/>
        </w:numPr>
      </w:pPr>
      <w:r>
        <w:rPr>
          <w:b/>
        </w:rPr>
        <w:t xml:space="preserve">Ficha de marca creada</w:t>
      </w:r>
      <w:r>
        <w:t xml:space="preserve"> (</w:t>
      </w:r>
      <w:r>
        <w:rPr>
          <w:rFonts w:ascii="Consolas" w:hAnsi="Consolas" w:cs="Consolas"/>
        </w:rPr>
        <w:t xml:space="preserve">perfil-marca.docx</w:t>
      </w:r>
      <w:r>
        <w:t xml:space="preserve">): modelo SaaS B2B para pymes, CPL calificado objetivo de 40 USD (confirmado), canal WhatsApp, Meta Ads activo. La línea base propia se completará con 4 semanas de datos.</w:t>
      </w:r>
    </w:p>
    <w:p>
      <w:pPr>
        <w:pStyle w:val="Heading1"/>
      </w:pPr>
      <w:r>
        <w:t xml:space="preserve">Supuestos usados</w:t>
      </w:r>
    </w:p>
    <w:p>
      <w:pPr>
        <w:pStyle w:val="Vineta"/>
        <w:numPr>
          <w:ilvl w:val="0"/>
          <w:numId w:val="1"/>
        </w:numPr>
      </w:pPr>
      <w:r>
        <w:t xml:space="preserve">La columna "conversaciones" (WhatsApp) cuenta como lead; los formularios de lead están en 0.</w:t>
      </w:r>
    </w:p>
    <w:p>
      <w:pPr>
        <w:pStyle w:val="Vineta"/>
        <w:numPr>
          <w:ilvl w:val="0"/>
          <w:numId w:val="1"/>
        </w:numPr>
      </w:pPr>
      <w:r>
        <w:t xml:space="preserve">El modelo de negocio es SaaS / B2B para pymes (líneas base B2B de ticket alto como referencia).</w:t>
      </w:r>
    </w:p>
    <w:p>
      <w:pPr>
        <w:pStyle w:val="Vineta"/>
        <w:numPr>
          <w:ilvl w:val="0"/>
          <w:numId w:val="1"/>
        </w:numPr>
      </w:pPr>
      <w:r>
        <w:t xml:space="preserve">El CPL calificado objetivo de 40 USD es correcto. No se pudo validar contra el ticket ni el margen porque no están disponibles.</w:t>
      </w:r>
    </w:p>
    <w:p>
      <w:pPr>
        <w:pStyle w:val="Vineta"/>
        <w:numPr>
          <w:ilvl w:val="0"/>
          <w:numId w:val="1"/>
        </w:numPr>
      </w:pPr>
      <w:r>
        <w:t xml:space="preserve">Presupuesto diario = presupuesto semanal ÷ 7 (105 USD → 15 USD/día por conjunto).</w:t>
      </w:r>
    </w:p>
    <w:p>
      <w:pPr>
        <w:pStyle w:val="Vineta"/>
        <w:numPr>
          <w:ilvl w:val="0"/>
          <w:numId w:val="1"/>
        </w:numPr>
      </w:pPr>
      <w:r>
        <w:t xml:space="preserve">La definición de "calificado" es la que ya usa tu equipo comercial.</w:t>
      </w:r>
    </w:p>
    <w:p>
      <w:pPr>
        <w:pStyle w:val="Heading1"/>
      </w:pPr>
      <w:r>
        <w:t xml:space="preserve">Preguntas para mejorar la ficha</w:t>
      </w:r>
    </w:p>
    <w:p>
      <w:pPr>
        <w:spacing w:after="60"/>
        <w:ind w:left="360" w:hanging="360"/>
      </w:pPr>
      <w:r>
        <w:t xml:space="preserve">1. ¿Cuánto cuesta tu plan (mensual o anual) y cuántos meses se queda en promedio un cliente? Con eso calculo el CAC máximo y confirmo si 40 USD es el techo correcto o si puedes pagar más por lead y escalar más rápido.</w:t>
      </w:r>
    </w:p>
    <w:p>
      <w:pPr>
        <w:spacing w:after="60"/>
        <w:ind w:left="360" w:hanging="360"/>
      </w:pPr>
      <w:r>
        <w:t xml:space="preserve">2. ¿Qué criterio usa tu equipo para marcar un lead como calificado (número de facturas al mes, rol, si ya factura electrónicamente)?</w:t>
      </w:r>
    </w:p>
    <w:p>
      <w:pPr>
        <w:spacing w:after="60"/>
        <w:ind w:left="360" w:hanging="360"/>
      </w:pPr>
      <w:r>
        <w:t xml:space="preserve">3. ¿Qué pasó con las 3 oportunidades y la cotización de esa semana, y en cuántos días suele cerrar una venta?</w:t>
      </w:r>
    </w:p>
    <w:sectPr>
      <w:footerReference w:type="default" r:id="rIdFooter"/>
      <w:pgSz w:w="12240" w:h="15840"/>
      <w:pgMar w:top="1134" w:right="1134" w:bottom="1134" w:left="1134" w:header="567" w:footer="567" w:gutter="0"/>
    </w:sectPr>
  </w:body>
</w:document>
</file>

<file path=word/footer1.xml><?xml version="1.0" encoding="utf-8"?>
<w:ftr xmlns:w="http://schemas.openxmlformats.org/wordprocessingml/2006/main" xmlns:r="http://schemas.openxmlformats.org/officeDocument/2006/relationships">
  <w:p>
    <w:pPr>
      <w:jc w:val="right"/>
    </w:pPr>
    <w:r>
      <w:rPr>
        <w:color w:val="808080"/>
        <w:sz w:val="16"/>
      </w:rPr>
      <w:t xml:space="preserve">Reporte de optimización — Semana 01–07 sep 2026 · Software de facturación para pymes · Página </w:t>
    </w:r>
    <w:r>
      <w:rPr>
        <w:color w:val="808080"/>
        <w:sz w:val="16"/>
      </w:rPr>
      <w:fldChar w:fldCharType="begin"/>
    </w:r>
    <w:r>
      <w:rPr>
        <w:color w:val="808080"/>
        <w:sz w:val="16"/>
      </w:rPr>
      <w:instrText xml:space="preserve"> PAGE </w:instrText>
    </w:r>
    <w:r>
      <w:rPr>
        <w:color w:val="808080"/>
        <w:sz w:val="16"/>
      </w:rPr>
      <w:fldChar w:fldCharType="separate"/>
    </w:r>
    <w:r>
      <w:rPr>
        <w:color w:val="808080"/>
        <w:sz w:val="16"/>
      </w:rPr>
      <w:t>1</w:t>
    </w:r>
    <w:r>
      <w:rPr>
        <w:color w:val="808080"/>
        <w:sz w:val="16"/>
      </w:rPr>
      <w:fldChar w:fldCharType="end"/>
    </w:r>
  </w:p>
</w:ftr>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360" w:hanging="360"/>
      </w:pPr>
    </w:lvl>
    <w:lvl w:ilvl="1">
      <w:start w:val="1"/>
      <w:numFmt w:val="bullet"/>
      <w:lvlText w:val="◦"/>
      <w:lvlJc w:val="left"/>
      <w:pPr>
        <w:ind w:left="720" w:hanging="360"/>
      </w:pPr>
    </w:lvl>
    <w:lvl w:ilvl="2">
      <w:start w:val="1"/>
      <w:numFmt w:val="bullet"/>
      <w:lvlText w:val="▪"/>
      <w:lvlJc w:val="left"/>
      <w:pPr>
        <w:ind w:left="1080" w:hanging="360"/>
      </w:pPr>
    </w:lvl>
  </w:abstractNum>
  <w:num w:numId="1">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s-ES"/>
      </w:rPr>
    </w:rPrDefault>
    <w:pPrDefault>
      <w:pPr>
        <w:spacing w:after="120" w:line="276" w:lineRule="auto"/>
      </w:pPr>
    </w:pPrDefault>
  </w:docDefaults>
  <w:style w:type="paragraph" w:default="1" w:styleId="Normal">
    <w:name w:val="Normal"/>
    <w:qFormat/>
  </w:style>
  <w:style w:type="paragraph" w:styleId="Title">
    <w:name w:val="Title"/>
    <w:basedOn w:val="Normal"/>
    <w:next w:val="Normal"/>
    <w:qFormat/>
    <w:pPr>
      <w:pBdr>
        <w:bottom w:val="single" w:sz="12" w:space="4" w:color="1F4E79"/>
      </w:pBdr>
      <w:spacing w:after="240"/>
    </w:pPr>
    <w:rPr>
      <w:b/>
      <w:color w:val="1F4E79"/>
      <w:sz w:val="40"/>
    </w:rPr>
  </w:style>
  <w:style w:type="paragraph" w:styleId="Heading1">
    <w:name w:val="heading 1"/>
    <w:basedOn w:val="Normal"/>
    <w:next w:val="Normal"/>
    <w:qFormat/>
    <w:pPr>
      <w:keepNext/>
      <w:spacing w:before="360" w:after="120"/>
      <w:outlineLvl w:val="0"/>
    </w:pPr>
    <w:rPr>
      <w:b/>
      <w:color w:val="1F4E79"/>
      <w:sz w:val="30"/>
    </w:rPr>
  </w:style>
  <w:style w:type="paragraph" w:styleId="Heading2">
    <w:name w:val="heading 2"/>
    <w:basedOn w:val="Normal"/>
    <w:next w:val="Normal"/>
    <w:qFormat/>
    <w:pPr>
      <w:keepNext/>
      <w:spacing w:before="240" w:after="80"/>
      <w:outlineLvl w:val="1"/>
    </w:pPr>
    <w:rPr>
      <w:b/>
      <w:color w:val="2E74B5"/>
      <w:sz w:val="26"/>
    </w:rPr>
  </w:style>
  <w:style w:type="paragraph" w:styleId="Heading3">
    <w:name w:val="heading 3"/>
    <w:basedOn w:val="Normal"/>
    <w:next w:val="Normal"/>
    <w:qFormat/>
    <w:pPr>
      <w:keepNext/>
      <w:spacing w:before="200" w:after="60"/>
      <w:outlineLvl w:val="2"/>
    </w:pPr>
    <w:rPr>
      <w:b/>
      <w:sz w:val="23"/>
    </w:rPr>
  </w:style>
  <w:style w:type="paragraph" w:styleId="Cita">
    <w:name w:val="Cita"/>
    <w:basedOn w:val="Normal"/>
    <w:pPr>
      <w:pBdr>
        <w:left w:val="single" w:sz="18" w:space="8" w:color="1F4E79"/>
      </w:pBdr>
      <w:shd w:val="clear" w:color="auto" w:fill="F2F6FB"/>
      <w:ind w:left="360"/>
    </w:pPr>
    <w:rPr>
      <w:i/>
      <w:color w:val="404040"/>
    </w:rPr>
  </w:style>
  <w:style w:type="paragraph" w:styleId="Vineta">
    <w:name w:val="Viñeta"/>
    <w:basedOn w:val="Normal"/>
    <w:pPr>
      <w:spacing w:after="60"/>
    </w:pPr>
  </w:style>
  <w:style w:type="paragraph" w:styleId="Codigo">
    <w:name w:val="Código"/>
    <w:basedOn w:val="Normal"/>
    <w:pPr>
      <w:shd w:val="clear" w:color="auto" w:fill="F2F2F2"/>
      <w:spacing w:after="0"/>
    </w:pPr>
    <w:rPr>
      <w:rFonts w:ascii="Consolas" w:hAnsi="Consolas" w:cs="Consolas"/>
      <w:sz w:val="18"/>
    </w:rPr>
  </w:style>
  <w:style w:type="paragraph" w:styleId="TablaTexto">
    <w:name w:val="Texto de tabla"/>
    <w:basedOn w:val="Normal"/>
    <w:pPr>
      <w:spacing w:before="20" w:after="20" w:line="240" w:lineRule="auto"/>
    </w:pPr>
    <w:rPr>
      <w:sz w:val="19"/>
    </w:rPr>
  </w:style>
  <w:style w:type="table" w:default="1" w:styleId="TableNormal">
    <w:name w:val="Normal Table"/>
    <w:tblPr>
      <w:tblCellMar>
        <w:top w:w="0" w:type="dxa"/>
        <w:left w:w="108" w:type="dxa"/>
        <w:bottom w:w="0" w:type="dxa"/>
        <w:right w:w="108" w:type="dxa"/>
      </w:tblCellMar>
    </w:tblPr>
  </w:style>
  <w:style w:type="table" w:styleId="TablaMarketing">
    <w:name w:val="Tabla Marketing"/>
    <w:basedOn w:val="TableNormal"/>
    <w:tblP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40" w:type="dxa"/>
        <w:left w:w="80" w:type="dxa"/>
        <w:bottom w:w="40" w:type="dxa"/>
        <w:right w:w="80" w:type="dxa"/>
      </w:tblCellMar>
    </w:tblPr>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Numbering" Type="http://schemas.openxmlformats.org/officeDocument/2006/relationships/numbering" Target="numbering.xml"/><Relationship Id="rIdFooter" Type="http://schemas.openxmlformats.org/officeDocument/2006/relationships/footer" Target="footer1.xml"/></Relationships>
</file>

<file path=docProps/core.xml><?xml version="1.0" encoding="utf-8"?>
<cp:coreProperties xmlns:cp="http://schemas.openxmlformats.org/package/2006/metadata/core-properties" xmlns:dc="http://purl.org/dc/elements/1.1/" xmlns:dcterms="http://purl.org/dc/terms/" xmlns:xsi="http://www.w3.org/2001/XMLSchema-instance">
  <dc:title>Reporte de optimización — Semana 01–07 sep 2026 · Software de facturación para pymes</dc:title>
  <dc:creator>Asistente de Marketing</dc:creator>
  <dcterms:created xsi:type="dcterms:W3CDTF">2026-09-28T17:59:06Z</dcterms:created>
  <dcterms:modified xsi:type="dcterms:W3CDTF">2026-09-28T17:59:06Z</dcterms:modified>
</cp:coreProperties>
</file>