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Ficha de marca — Clínica de ortodoncia invisible (nombre PENDIENTE)</w:t>
      </w:r>
    </w:p>
    <w:p>
      <w:pPr>
        <w:pStyle w:val="Cita"/>
      </w:pPr>
      <w:r>
        <w:t xml:space="preserve">Archivo vivo. Completa o corrige cualquier campo; la skill lo lee al comenzar cada conversación.</w:t>
      </w:r>
    </w:p>
    <w:p>
      <w:pPr>
        <w:pStyle w:val="Cita"/>
      </w:pPr>
      <w:r>
        <w:t xml:space="preserve">Formato de cada línea: </w:t>
      </w:r>
      <w:r>
        <w:rPr>
          <w:rFonts w:ascii="Consolas" w:hAnsi="Consolas" w:cs="Consolas"/>
        </w:rPr>
        <w:t xml:space="preserve">- **Campo** [nivel]: valor</w:t>
      </w:r>
      <w:r>
        <w:t xml:space="preserve">. Deja PENDIENTE lo que no sepas. Marca con (SUPUESTO) lo que no esté confirmado.</w:t>
      </w:r>
    </w:p>
    <w:p>
      <w:pPr>
        <w:pStyle w:val="Cita"/>
      </w:pPr>
      <w:r>
        <w:t xml:space="preserve">Última actualización: 2026-09-28</w:t>
      </w:r>
    </w:p>
    <w:p>
      <w:pPr>
        <w:pStyle w:val="Heading1"/>
      </w:pPr>
      <w:r>
        <w:t xml:space="preserve">1. Identidad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Nombre de la marca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Web y redes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Productos o servicios y producto estrella</w:t>
      </w:r>
      <w:r>
        <w:t xml:space="preserve"> [N1]: Ortodoncia invisible (alineadores transparentes); producto estrella: tratamiento completo de ortodoncia invisible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Modelo de negocio</w:t>
      </w:r>
      <w:r>
        <w:t xml:space="preserve"> [N1]: Servicio de salud dental en consultorio (B2C, servicio local), con venta consultiva por WhatsApp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País, ciudades o zonas y envíos</w:t>
      </w:r>
      <w:r>
        <w:t xml:space="preserve"> [N1]: Perú; Lima Metropolitana (por confirmar los distritos prioritarios y la dirección del consultorio)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Moneda</w:t>
      </w:r>
      <w:r>
        <w:t xml:space="preserve"> [N1]: USD (el usuario indicó dólares; confirmar si los anuncios deben mostrar soles)</w:t>
      </w:r>
    </w:p>
    <w:p>
      <w:pPr>
        <w:pStyle w:val="Heading1"/>
      </w:pPr>
      <w:r>
        <w:t xml:space="preserve">2. Cliente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Cliente ideal (quién compra / quién decide)</w:t>
      </w:r>
      <w:r>
        <w:t xml:space="preserve"> [N1]: Adultos de 22 a 45 años en Lima, profesionales o personas con trabajo de cara al público que quieren corregir sus dientes sin brackets visibles; deciden y pagan ellos mismos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Dolores o necesidades principales</w:t>
      </w:r>
      <w:r>
        <w:t xml:space="preserve"> [N2]: No quieren brackets metálicos a su edad; dientes apiñados o separados; recaída después de brackets usados en la adolescencia; incomodidad al sonreír en fotos o reuniones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 frecuentes</w:t>
      </w:r>
      <w:r>
        <w:t xml:space="preserve"> [N2]: Precio alto (USD 2 500); "¿de verdad funciona en mi caso?"; duración del tratamiento; si duele o molesta; confianza en la clínica y el especialista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Disparadores o temporadas de compra</w:t>
      </w:r>
      <w:r>
        <w:t xml:space="preserve"> [N2]: Matrimonio o evento propio, nuevo trabajo, gratificación de julio y diciembre, inicio de año (SUPUESTO)</w:t>
      </w:r>
    </w:p>
    <w:p>
      <w:pPr>
        <w:pStyle w:val="Heading1"/>
      </w:pPr>
      <w:r>
        <w:t xml:space="preserve">3. Economía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Ticket promedio</w:t>
      </w:r>
      <w:r>
        <w:t xml:space="preserve"> [N1]: USD 2 500 por tratamiento (confirmado)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Margen o CAC máximo tolerable</w:t>
      </w:r>
      <w:r>
        <w:t xml:space="preserve"> [N2]: 50 % de margen (SUPUESTO por defecto para servicios); CAC máximo = USD 375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Duración del ciclo de venta</w:t>
      </w:r>
      <w:r>
        <w:t xml:space="preserve"> [N2]: 1 a 4 semanas desde el primer mensaje hasta el inicio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Presupuesto publicitario mensual</w:t>
      </w:r>
      <w:r>
        <w:t xml:space="preserve"> [N2]: USD 800/mes (confirmado)</w:t>
      </w:r>
    </w:p>
    <w:p>
      <w:pPr>
        <w:pStyle w:val="Heading1"/>
      </w:pPr>
      <w:r>
        <w:t xml:space="preserve">4. Oferta y competencia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Objetivo principal de la publicidad</w:t>
      </w:r>
      <w:r>
        <w:t xml:space="preserve"> [N1]: Conversaciones por WhatsApp que terminen en citas de evaluación y tratamientos iniciados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Diferenciadores (2-3 razones concretas)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Competidores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Ofertas vigentes o razón para comprar ahora</w:t>
      </w:r>
      <w:r>
        <w:t xml:space="preserve"> [N2]: PENDIENTE (confirmar si la evaluación es gratuita o tiene costo, y si hay pago en cuotas)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Restricciones legales o de política publicitaria</w:t>
      </w:r>
      <w:r>
        <w:t xml:space="preserve"> [N2]: Categoría de salud: no aludir a atributos personales del usuario, no garantizar resultados, fotos de antes y después solo reales y con consentimiento, segmentación 18+ (SUPUESTO; revisar con el colegio profesional y las normas de publicidad del Perú)</w:t>
      </w:r>
    </w:p>
    <w:p>
      <w:pPr>
        <w:pStyle w:val="Heading1"/>
      </w:pPr>
      <w:r>
        <w:t xml:space="preserve">5. Operación comercial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 de conversión y quién atiende (horario)</w:t>
      </w:r>
      <w:r>
        <w:t xml:space="preserve"> [N2]: WhatsApp, de 9:00 a 19:00 (confirmado); de lunes a sábado (SUPUESTO); por confirmar quién atiende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Plataformas publicitarias activas</w:t>
      </w:r>
      <w:r>
        <w:t xml:space="preserve"> [N2]: Meta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Material creativo disponible</w:t>
      </w:r>
      <w:r>
        <w:t xml:space="preserve"> [N2]: PENDIENTE (se asumen guiones grabables con el celular en el consultorio)</w:t>
      </w:r>
    </w:p>
    <w:p>
      <w:pPr>
        <w:pStyle w:val="Heading1"/>
      </w:pPr>
      <w:r>
        <w:t xml:space="preserve">6. Medición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Píxel / API de conversiones / GA4 / GTM</w:t>
      </w:r>
      <w:r>
        <w:t xml:space="preserve"> [N3]: No instalado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CRM o registro de ventas</w:t>
      </w:r>
      <w:r>
        <w:t xml:space="preserve"> [N3]: Hoja de cálculo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Definición de lead calificado</w:t>
      </w:r>
      <w:r>
        <w:t xml:space="preserve"> [N3]: Vive o trabaja en Lima + quiere corregir algo concreto + piensa empezar en menos de 3 meses + acepta agendar evaluación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Tasa de cierre aproximada</w:t>
      </w:r>
      <w:r>
        <w:t xml:space="preserve"> [N3]: 30 % de las evaluaciones asistidas inician tratamiento (SUPUESTO, línea base de servicios)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Historial de campañas anteriores</w:t>
      </w:r>
      <w:r>
        <w:t xml:space="preserve"> [N3]: Ninguno (SUPUESTO; cuenta nueva)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Tamaño de audiencias propias</w:t>
      </w:r>
      <w:r>
        <w:t xml:space="preserve"> [N3]: PENDIENTE (se asume cuenta nueva)</w:t>
      </w:r>
    </w:p>
    <w:p>
      <w:pPr>
        <w:pStyle w:val="Heading1"/>
      </w:pPr>
      <w:r>
        <w:t xml:space="preserve">7. Techos económicos calculados</w:t>
      </w:r>
    </w:p>
    <w:p>
      <w:pPr>
        <w:pStyle w:val="Cita"/>
      </w:pPr>
      <w:r>
        <w:t xml:space="preserve">Calculados con margen 50 % (SUPUESTO), 30 % del margen para marketing y tasas base de servicios (lead → calificado 40 %, calificado → evaluación asistida 55 %, evaluación → tratamiento 30 %).</w:t>
      </w:r>
    </w:p>
    <w:p>
      <w:pPr>
        <w:pStyle w:val="Vineta"/>
        <w:numPr>
          <w:ilvl w:val="0"/>
          <w:numId w:val="1"/>
        </w:numPr>
      </w:pPr>
      <w:r>
        <w:t xml:space="preserve">CAC máximo: USD 375 por paciente que inicia tratamiento (2 500 × 50 % × 30 %)</w:t>
      </w:r>
    </w:p>
    <w:p>
      <w:pPr>
        <w:pStyle w:val="Vineta"/>
        <w:numPr>
          <w:ilvl w:val="0"/>
          <w:numId w:val="1"/>
        </w:numPr>
      </w:pPr>
      <w:r>
        <w:t xml:space="preserve">Costo máximo por oportunidad o venta: USD 112 por evaluación asistida (375 × 30 %)</w:t>
      </w:r>
    </w:p>
    <w:p>
      <w:pPr>
        <w:pStyle w:val="Vineta"/>
        <w:numPr>
          <w:ilvl w:val="0"/>
          <w:numId w:val="1"/>
        </w:numPr>
      </w:pPr>
      <w:r>
        <w:t xml:space="preserve">CPL calificado máximo: USD 62 (112 × 55 %)</w:t>
      </w:r>
    </w:p>
    <w:p>
      <w:pPr>
        <w:pStyle w:val="Vineta"/>
        <w:numPr>
          <w:ilvl w:val="0"/>
          <w:numId w:val="1"/>
        </w:numPr>
      </w:pPr>
      <w:r>
        <w:t xml:space="preserve">CPL máximo: USD 25 por conversación de WhatsApp (62 × 40 %)</w:t>
      </w:r>
    </w:p>
    <w:p>
      <w:pPr>
        <w:pStyle w:val="Heading1"/>
      </w:pPr>
      <w:r>
        <w:t xml:space="preserve">8. Línea base propia (se llena con datos reales)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Plataforma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Producto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CPM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CTR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CPC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CPL / CPA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 calificación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ROAS</w:t>
            </w:r>
          </w:p>
        </w:tc>
      </w:tr>
      <w:tr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Registro de cambios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Antes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Ahora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2026-09-28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Ficha creada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Producto, zona, ticket, presupuesto y canal de atención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Mensaje del usuario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2026-09-28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Techos económicos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CAC USD 375 · evaluación USD 112 · CPLc USD 62 · CPL USD 25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Cálculo de la skill con supuestos</w:t>
            </w:r>
          </w:p>
        </w:tc>
      </w:tr>
    </w:tbl>
    <w:p>
      <w:pPr>
        <w:spacing w:after="60"/>
      </w:pP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Ficha de marca — Clínica de ortodoncia invisible (nombre PENDIENTE)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de marca — Clínica de ortodoncia invisible (nombre PENDIENTE)</dc:title>
  <dc:creator>Asistente de Marketing</dc:creator>
  <dcterms:created xsi:type="dcterms:W3CDTF">2026-09-28T18:00:39Z</dcterms:created>
  <dcterms:modified xsi:type="dcterms:W3CDTF">2026-09-28T18:00:39Z</dcterms:modified>
</cp:coreProperties>
</file>