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pPr>
      <w:r>
        <w:rPr>
          <w:rFonts w:ascii="Calibri" w:cs="Calibri" w:eastAsia="Calibri" w:hAnsi="Calibri"/>
          <w:b/>
          <w:bCs/>
          <w:color w:val="7F7F7F"/>
          <w:spacing w:val="60"/>
          <w:sz w:val="22"/>
          <w:szCs w:val="22"/>
        </w:rPr>
        <w:t xml:space="preserve">CLIENT BRIEFING</w:t>
      </w:r>
    </w:p>
    <w:p>
      <w:pPr>
        <w:spacing w:after="80"/>
      </w:pPr>
      <w:r>
        <w:rPr>
          <w:rFonts w:ascii="Calibri" w:cs="Calibri" w:eastAsia="Calibri" w:hAnsi="Calibri"/>
          <w:b/>
          <w:bCs/>
          <w:color w:val="1F3864"/>
          <w:sz w:val="56"/>
          <w:szCs w:val="56"/>
        </w:rPr>
        <w:t xml:space="preserve">Automating Your URA Document Collection</w:t>
      </w:r>
    </w:p>
    <w:p>
      <w:pPr>
        <w:pBdr>
          <w:bottom w:val="single" w:color="1F3864" w:sz="12" w:space="8"/>
        </w:pBdr>
        <w:spacing w:after="360"/>
      </w:pPr>
      <w:r>
        <w:rPr>
          <w:rFonts w:ascii="Calibri" w:cs="Calibri" w:eastAsia="Calibri" w:hAnsi="Calibri"/>
          <w:color w:val="2F5496"/>
          <w:sz w:val="26"/>
          <w:szCs w:val="26"/>
        </w:rPr>
        <w:t xml:space="preserve">How we are speeding up the way we collect your tax documents from the URA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Item</w:t>
            </w:r>
          </w:p>
        </w:tc>
        <w:tc>
          <w:tcPr>
            <w:tcW w:type="dxa" w:w="6826"/>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Detail</w:t>
            </w:r>
          </w:p>
        </w:tc>
      </w:tr>
      <w:tr>
        <w:trPr>
          <w:cantSplit/>
        </w:trPr>
        <w:tc>
          <w:tcPr>
            <w:tcW w:type="dxa" w:w="2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Prepared for</w:t>
            </w:r>
          </w:p>
        </w:tc>
        <w:tc>
          <w:tcPr>
            <w:tcW w:type="dxa" w:w="6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Client review</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Prepared by</w:t>
            </w:r>
          </w:p>
        </w:tc>
        <w:tc>
          <w:tcPr>
            <w:tcW w:type="dxa" w:w="68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Tax team</w:t>
            </w:r>
          </w:p>
        </w:tc>
      </w:tr>
      <w:tr>
        <w:trPr>
          <w:cantSplit/>
        </w:trPr>
        <w:tc>
          <w:tcPr>
            <w:tcW w:type="dxa" w:w="2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Date</w:t>
            </w:r>
          </w:p>
        </w:tc>
        <w:tc>
          <w:tcPr>
            <w:tcW w:type="dxa" w:w="6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22 September 2026</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Purpose</w:t>
            </w:r>
          </w:p>
        </w:tc>
        <w:tc>
          <w:tcPr>
            <w:tcW w:type="dxa" w:w="68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 explain, in plain terms, a new tool used to collect your reconciliation documents from the URA portal</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E2EFDA" w:color="auto" w:val="clear"/>
            <w:tcMar>
              <w:top w:type="dxa" w:w="110"/>
              <w:left w:type="dxa" w:w="170"/>
              <w:bottom w:type="dxa" w:w="110"/>
              <w:right w:type="dxa" w:w="170"/>
            </w:tcMar>
          </w:tcPr>
          <w:p>
            <w:pPr>
              <w:spacing w:after="0"/>
            </w:pPr>
            <w:r>
              <w:rPr>
                <w:rFonts w:ascii="Calibri" w:cs="Calibri" w:eastAsia="Calibri" w:hAnsi="Calibri"/>
                <w:b/>
                <w:bCs/>
                <w:color w:val="375623"/>
                <w:sz w:val="21"/>
                <w:szCs w:val="21"/>
              </w:rPr>
              <w:t xml:space="preserve">In short: </w:t>
            </w:r>
            <w:r>
              <w:rPr>
                <w:rFonts w:ascii="Calibri" w:cs="Calibri" w:eastAsia="Calibri" w:hAnsi="Calibri"/>
                <w:sz w:val="21"/>
                <w:szCs w:val="21"/>
              </w:rPr>
              <w:t xml:space="preserve">Nothing about your access, your credentials, or the documents you receive changes. This tool simply automates the repetitive part of work our team already does for you, by hand, every period.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1. What this is</w:t>
      </w:r>
    </w:p>
    <w:p>
      <w:pPr>
        <w:spacing w:after="140" w:line="288"/>
      </w:pPr>
      <w:r>
        <w:rPr>
          <w:rFonts w:ascii="Calibri" w:cs="Calibri" w:eastAsia="Calibri" w:hAnsi="Calibri"/>
          <w:sz w:val="22"/>
          <w:szCs w:val="22"/>
        </w:rPr>
        <w:t xml:space="preserve">Each reconciliation period, our team logs into your URA portal account and downloads a set of documents: your return copies, registration details, certificates, ledgers, tax credit certificates, and payment slips. We are introducing a small in-house tool that does this downloading for us, following the exact same steps our team already follows by hand, so that it happens faster and more consistently.</w:t>
      </w:r>
    </w:p>
    <w:p>
      <w:pPr>
        <w:pStyle w:val="Heading1"/>
        <w:pBdr>
          <w:bottom w:val="single" w:color="1F3864" w:sz="6" w:space="4"/>
        </w:pBdr>
        <w:spacing w:after="160" w:before="360"/>
      </w:pPr>
      <w:r>
        <w:rPr>
          <w:rFonts w:ascii="Calibri" w:cs="Calibri" w:eastAsia="Calibri" w:hAnsi="Calibri"/>
          <w:b/>
          <w:bCs/>
          <w:color w:val="1F3864"/>
          <w:sz w:val="30"/>
          <w:szCs w:val="30"/>
        </w:rPr>
        <w:t xml:space="preserve">2. Why we are doing this</w:t>
      </w:r>
    </w:p>
    <w:p>
      <w:pPr>
        <w:spacing w:after="140" w:line="288"/>
      </w:pPr>
      <w:r>
        <w:rPr>
          <w:rFonts w:ascii="Calibri" w:cs="Calibri" w:eastAsia="Calibri" w:hAnsi="Calibri"/>
          <w:sz w:val="22"/>
          <w:szCs w:val="22"/>
        </w:rPr>
        <w:t xml:space="preserve">Right now, a team member clicks through the same portal menus for every tax type and every month, one at a time. It is slow, repetitive, and easy to lose track of exactly what has and has not been downloaded yet. Automating this repetitive part means our time goes into reviewing your numbers, not into clicking through screens.</w:t>
      </w:r>
    </w:p>
    <w:p>
      <w:pPr>
        <w:pStyle w:val="Heading1"/>
        <w:pBdr>
          <w:bottom w:val="single" w:color="1F3864" w:sz="6" w:space="4"/>
        </w:pBdr>
        <w:spacing w:after="160" w:before="360"/>
      </w:pPr>
      <w:r>
        <w:rPr>
          <w:rFonts w:ascii="Calibri" w:cs="Calibri" w:eastAsia="Calibri" w:hAnsi="Calibri"/>
          <w:b/>
          <w:bCs/>
          <w:color w:val="1F3864"/>
          <w:sz w:val="30"/>
          <w:szCs w:val="30"/>
        </w:rPr>
        <w:t xml:space="preserve">3. The process, start to finish</w:t>
      </w:r>
    </w:p>
    <w:p>
      <w:pPr>
        <w:spacing w:after="140" w:line="288"/>
      </w:pPr>
      <w:r>
        <w:rPr>
          <w:rFonts w:ascii="Calibri" w:cs="Calibri" w:eastAsia="Calibri" w:hAnsi="Calibri"/>
          <w:sz w:val="22"/>
          <w:szCs w:val="22"/>
        </w:rPr>
        <w:t xml:space="preserve">The steps below are exactly what our team already does for you today. The only change is that most of the clicking is now done by the tool, with a person confirming the sensitive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26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Step</w:t>
            </w:r>
          </w:p>
        </w:tc>
        <w:tc>
          <w:tcPr>
            <w:tcW w:type="dxa" w:w="5700"/>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What happens</w:t>
            </w:r>
          </w:p>
        </w:tc>
        <w:tc>
          <w:tcPr>
            <w:tcW w:type="dxa" w:w="2626"/>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Who does it</w:t>
            </w:r>
          </w:p>
        </w:tc>
      </w:tr>
      <w:tr>
        <w:trPr>
          <w:cantSplit/>
        </w:trPr>
        <w:tc>
          <w:tcPr>
            <w:tcW w:type="dxa" w:w="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1</w:t>
            </w:r>
          </w:p>
        </w:tc>
        <w:tc>
          <w:tcPr>
            <w:tcW w:type="dxa" w:w="5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 selects your account and the period we are working on</w:t>
            </w:r>
          </w:p>
        </w:tc>
        <w:tc>
          <w:tcPr>
            <w:tcW w:type="dxa" w:w="26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2</w:t>
            </w:r>
          </w:p>
        </w:tc>
        <w:tc>
          <w:tcPr>
            <w:tcW w:type="dxa" w:w="5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The tool logs in using the details you have already provided</w:t>
            </w:r>
          </w:p>
        </w:tc>
        <w:tc>
          <w:tcPr>
            <w:tcW w:type="dxa" w:w="26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3</w:t>
            </w:r>
          </w:p>
        </w:tc>
        <w:tc>
          <w:tcPr>
            <w:tcW w:type="dxa" w:w="5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URA shows a security image to confirm a real person is present. We read it and type the code ourselves</w:t>
            </w:r>
          </w:p>
        </w:tc>
        <w:tc>
          <w:tcPr>
            <w:tcW w:type="dxa" w:w="26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4</w:t>
            </w:r>
          </w:p>
        </w:tc>
        <w:tc>
          <w:tcPr>
            <w:tcW w:type="dxa" w:w="5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The tool checks your registration details, so it only collects documents for the tax types that actually apply to you</w:t>
            </w:r>
          </w:p>
        </w:tc>
        <w:tc>
          <w:tcPr>
            <w:tcW w:type="dxa" w:w="26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5</w:t>
            </w:r>
          </w:p>
        </w:tc>
        <w:tc>
          <w:tcPr>
            <w:tcW w:type="dxa" w:w="5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It downloads your return copies for the period</w:t>
            </w:r>
          </w:p>
        </w:tc>
        <w:tc>
          <w:tcPr>
            <w:tcW w:type="dxa" w:w="26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6</w:t>
            </w:r>
          </w:p>
        </w:tc>
        <w:tc>
          <w:tcPr>
            <w:tcW w:type="dxa" w:w="5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It goes through your ledgers, month by month or year by year, saving the detail</w:t>
            </w:r>
          </w:p>
        </w:tc>
        <w:tc>
          <w:tcPr>
            <w:tcW w:type="dxa" w:w="26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7</w:t>
            </w:r>
          </w:p>
        </w:tc>
        <w:tc>
          <w:tcPr>
            <w:tcW w:type="dxa" w:w="5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It downloads your withholding and PAYE tax credit certificates</w:t>
            </w:r>
          </w:p>
        </w:tc>
        <w:tc>
          <w:tcPr>
            <w:tcW w:type="dxa" w:w="26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8</w:t>
            </w:r>
          </w:p>
        </w:tc>
        <w:tc>
          <w:tcPr>
            <w:tcW w:type="dxa" w:w="5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It collects your payment reference numbers and reprints each payment slip</w:t>
            </w:r>
          </w:p>
        </w:tc>
        <w:tc>
          <w:tcPr>
            <w:tcW w:type="dxa" w:w="26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9</w:t>
            </w:r>
          </w:p>
        </w:tc>
        <w:tc>
          <w:tcPr>
            <w:tcW w:type="dxa" w:w="57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It checks its own work: compares everything downloaded against our checklist, and confirms your payment totals match your payment slips</w:t>
            </w:r>
          </w:p>
        </w:tc>
        <w:tc>
          <w:tcPr>
            <w:tcW w:type="dxa" w:w="26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Tool</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10</w:t>
            </w:r>
          </w:p>
        </w:tc>
        <w:tc>
          <w:tcPr>
            <w:tcW w:type="dxa" w:w="57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 reviews anything flagged and follows up before your file is finalised</w:t>
            </w:r>
          </w:p>
        </w:tc>
        <w:tc>
          <w:tcPr>
            <w:tcW w:type="dxa" w:w="26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4. The process at a glance</w:t>
      </w:r>
    </w:p>
    <w:p>
      <w:pPr>
        <w:spacing w:after="140" w:line="288"/>
      </w:pPr>
      <w:r>
        <w:rPr>
          <w:rFonts w:ascii="Calibri" w:cs="Calibri" w:eastAsia="Calibri" w:hAnsi="Calibri"/>
          <w:sz w:val="22"/>
          <w:szCs w:val="22"/>
        </w:rPr>
        <w:t xml:space="preserve">The diagram below shows the same ten steps as a simple flow. Steps in the darker rows are the two moments a person is always involved: entering the security code, and the final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Stage</w:t>
            </w:r>
          </w:p>
        </w:tc>
        <w:tc>
          <w:tcPr>
            <w:tcW w:type="dxa" w:w="5826"/>
            <w:tcBorders>
              <w:top w:val="single" w:color="A6A6A6" w:sz="4"/>
              <w:left w:val="single" w:color="A6A6A6" w:sz="4"/>
              <w:bottom w:val="single" w:color="A6A6A6" w:sz="4"/>
              <w:right w:val="single" w:color="A6A6A6" w:sz="4"/>
            </w:tcBorders>
            <w:shd w:fill="1F3864"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Step</w:t>
            </w:r>
          </w:p>
        </w:tc>
      </w:tr>
      <w:tr>
        <w:trPr>
          <w:cantSplit/>
        </w:trPr>
        <w:tc>
          <w:tcPr>
            <w:tcW w:type="dxa" w:w="3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Start</w:t>
            </w:r>
          </w:p>
        </w:tc>
        <w:tc>
          <w:tcPr>
            <w:tcW w:type="dxa" w:w="5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 selects your account for the period</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Login</w:t>
            </w:r>
          </w:p>
        </w:tc>
        <w:tc>
          <w:tcPr>
            <w:tcW w:type="dxa" w:w="58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 logs in with your existing details</w:t>
            </w:r>
          </w:p>
        </w:tc>
      </w:tr>
      <w:tr>
        <w:trPr>
          <w:cantSplit/>
        </w:trPr>
        <w:tc>
          <w:tcPr>
            <w:tcW w:type="dxa" w:w="3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Security check — a person is always involved here</w:t>
            </w:r>
          </w:p>
        </w:tc>
        <w:tc>
          <w:tcPr>
            <w:tcW w:type="dxa" w:w="5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 types the security code shown by URA</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Scope check</w:t>
            </w:r>
          </w:p>
        </w:tc>
        <w:tc>
          <w:tcPr>
            <w:tcW w:type="dxa" w:w="58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 reads your registration details to know what applies to you</w:t>
            </w:r>
          </w:p>
        </w:tc>
      </w:tr>
      <w:tr>
        <w:trPr>
          <w:cantSplit/>
        </w:trPr>
        <w:tc>
          <w:tcPr>
            <w:tcW w:type="dxa" w:w="3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Collection</w:t>
            </w:r>
          </w:p>
        </w:tc>
        <w:tc>
          <w:tcPr>
            <w:tcW w:type="dxa" w:w="5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Returns, ledgers, certificates and payment slips are downloaded</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Self-check</w:t>
            </w:r>
          </w:p>
        </w:tc>
        <w:tc>
          <w:tcPr>
            <w:tcW w:type="dxa" w:w="5826"/>
            <w:tcBorders>
              <w:top w:val="single" w:color="A6A6A6" w:sz="4"/>
              <w:left w:val="single" w:color="A6A6A6" w:sz="4"/>
              <w:bottom w:val="single" w:color="A6A6A6" w:sz="4"/>
              <w:right w:val="single" w:color="A6A6A6" w:sz="4"/>
            </w:tcBorders>
            <w:shd w:fill="F2F2F2"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Tool compares results against our checklist and totals</w:t>
            </w:r>
          </w:p>
        </w:tc>
      </w:tr>
      <w:tr>
        <w:trPr>
          <w:cantSplit/>
        </w:trPr>
        <w:tc>
          <w:tcPr>
            <w:tcW w:type="dxa" w:w="3200"/>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Final review — a person is always involved here</w:t>
            </w:r>
          </w:p>
        </w:tc>
        <w:tc>
          <w:tcPr>
            <w:tcW w:type="dxa" w:w="5826"/>
            <w:tcBorders>
              <w:top w:val="single" w:color="A6A6A6" w:sz="4"/>
              <w:left w:val="single" w:color="A6A6A6" w:sz="4"/>
              <w:bottom w:val="single" w:color="A6A6A6" w:sz="4"/>
              <w:right w:val="single" w:color="A6A6A6" w:sz="4"/>
            </w:tcBorders>
            <w:tcMar>
              <w:top w:type="dxa" w:w="90"/>
              <w:left w:type="dxa" w:w="130"/>
              <w:bottom w:type="dxa" w:w="90"/>
              <w:right w:type="dxa" w:w="130"/>
            </w:tcMar>
            <w:vAlign w:val="center"/>
          </w:tcPr>
          <w:p>
            <w:pPr>
              <w:spacing w:after="0"/>
            </w:pPr>
            <w:r>
              <w:rPr>
                <w:rFonts w:ascii="Calibri" w:cs="Calibri" w:eastAsia="Calibri" w:hAnsi="Calibri"/>
                <w:sz w:val="20"/>
                <w:szCs w:val="20"/>
              </w:rPr>
              <w:t xml:space="preserve">Our team reviews anything flagged and confirms the file is complete</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5. What stays exactly the same</w:t>
      </w:r>
    </w:p>
    <w:p>
      <w:pPr>
        <w:pStyle w:val="ListParagraph"/>
        <w:numPr>
          <w:ilvl w:val="0"/>
          <w:numId w:val="2"/>
        </w:numPr>
        <w:spacing w:after="80" w:line="276"/>
      </w:pPr>
      <w:r>
        <w:rPr>
          <w:rFonts w:ascii="Calibri" w:cs="Calibri" w:eastAsia="Calibri" w:hAnsi="Calibri"/>
          <w:sz w:val="22"/>
          <w:szCs w:val="22"/>
        </w:rPr>
        <w:t xml:space="preserve">Your login credentials, and how they were shared with us.</w:t>
      </w:r>
    </w:p>
    <w:p>
      <w:pPr>
        <w:pStyle w:val="ListParagraph"/>
        <w:numPr>
          <w:ilvl w:val="0"/>
          <w:numId w:val="2"/>
        </w:numPr>
        <w:spacing w:after="80" w:line="276"/>
      </w:pPr>
      <w:r>
        <w:rPr>
          <w:rFonts w:ascii="Calibri" w:cs="Calibri" w:eastAsia="Calibri" w:hAnsi="Calibri"/>
          <w:sz w:val="22"/>
          <w:szCs w:val="22"/>
        </w:rPr>
        <w:t xml:space="preserve">The documents you receive: same files, same names, same folder structure as before.</w:t>
      </w:r>
    </w:p>
    <w:p>
      <w:pPr>
        <w:pStyle w:val="ListParagraph"/>
        <w:numPr>
          <w:ilvl w:val="0"/>
          <w:numId w:val="2"/>
        </w:numPr>
        <w:spacing w:after="80" w:line="276"/>
      </w:pPr>
      <w:r>
        <w:rPr>
          <w:rFonts w:ascii="Calibri" w:cs="Calibri" w:eastAsia="Calibri" w:hAnsi="Calibri"/>
          <w:sz w:val="22"/>
          <w:szCs w:val="22"/>
        </w:rPr>
        <w:t xml:space="preserve">Our team's responsibility for reviewing your account and your reconciliation.</w:t>
      </w:r>
    </w:p>
    <w:p>
      <w:pPr>
        <w:pStyle w:val="ListParagraph"/>
        <w:numPr>
          <w:ilvl w:val="0"/>
          <w:numId w:val="2"/>
        </w:numPr>
        <w:spacing w:after="80" w:line="276"/>
      </w:pPr>
      <w:r>
        <w:rPr>
          <w:rFonts w:ascii="Calibri" w:cs="Calibri" w:eastAsia="Calibri" w:hAnsi="Calibri"/>
          <w:sz w:val="22"/>
          <w:szCs w:val="22"/>
        </w:rPr>
        <w:t xml:space="preserve">URA's own security check at login, which is always completed by one of our team, never by the tool.</w:t>
      </w:r>
    </w:p>
    <w:p>
      <w:pPr>
        <w:pStyle w:val="Heading1"/>
        <w:pBdr>
          <w:bottom w:val="single" w:color="1F3864" w:sz="6" w:space="4"/>
        </w:pBdr>
        <w:spacing w:after="160" w:before="360"/>
      </w:pPr>
      <w:r>
        <w:rPr>
          <w:rFonts w:ascii="Calibri" w:cs="Calibri" w:eastAsia="Calibri" w:hAnsi="Calibri"/>
          <w:b/>
          <w:bCs/>
          <w:color w:val="1F3864"/>
          <w:sz w:val="30"/>
          <w:szCs w:val="30"/>
        </w:rPr>
        <w:t xml:space="preserve">6. What the tool never does</w:t>
      </w:r>
    </w:p>
    <w:p>
      <w:pPr>
        <w:pStyle w:val="ListParagraph"/>
        <w:numPr>
          <w:ilvl w:val="0"/>
          <w:numId w:val="2"/>
        </w:numPr>
        <w:spacing w:after="80" w:line="276"/>
      </w:pPr>
      <w:r>
        <w:rPr>
          <w:rFonts w:ascii="Calibri" w:cs="Calibri" w:eastAsia="Calibri" w:hAnsi="Calibri"/>
          <w:sz w:val="22"/>
          <w:szCs w:val="22"/>
        </w:rPr>
        <w:t xml:space="preserve">It never files a return, submits anything, or makes a payment on your behalf. It only views and downloads documents.</w:t>
      </w:r>
    </w:p>
    <w:p>
      <w:pPr>
        <w:pStyle w:val="ListParagraph"/>
        <w:numPr>
          <w:ilvl w:val="0"/>
          <w:numId w:val="2"/>
        </w:numPr>
        <w:spacing w:after="80" w:line="276"/>
      </w:pPr>
      <w:r>
        <w:rPr>
          <w:rFonts w:ascii="Calibri" w:cs="Calibri" w:eastAsia="Calibri" w:hAnsi="Calibri"/>
          <w:sz w:val="22"/>
          <w:szCs w:val="22"/>
        </w:rPr>
        <w:t xml:space="preserve">It never attempts to read or bypass the security image at login. That step is designed to confirm a human is present, and it always stays with a person.</w:t>
      </w:r>
    </w:p>
    <w:p>
      <w:pPr>
        <w:pStyle w:val="ListParagraph"/>
        <w:numPr>
          <w:ilvl w:val="0"/>
          <w:numId w:val="2"/>
        </w:numPr>
        <w:spacing w:after="80" w:line="276"/>
      </w:pPr>
      <w:r>
        <w:rPr>
          <w:rFonts w:ascii="Calibri" w:cs="Calibri" w:eastAsia="Calibri" w:hAnsi="Calibri"/>
          <w:sz w:val="22"/>
          <w:szCs w:val="22"/>
        </w:rPr>
        <w:t xml:space="preserve">It never guesses. If it is ever unsure what to do next, or if something on the portal looks different than expected, it stops completely and waits for our team to check it.</w:t>
      </w:r>
    </w:p>
    <w:p>
      <w:pPr>
        <w:pStyle w:val="ListParagraph"/>
        <w:numPr>
          <w:ilvl w:val="0"/>
          <w:numId w:val="2"/>
        </w:numPr>
        <w:spacing w:after="80" w:line="276"/>
      </w:pPr>
      <w:r>
        <w:rPr>
          <w:rFonts w:ascii="Calibri" w:cs="Calibri" w:eastAsia="Calibri" w:hAnsi="Calibri"/>
          <w:sz w:val="22"/>
          <w:szCs w:val="22"/>
        </w:rPr>
        <w:t xml:space="preserve">It never sends your information anywhere outside our own computer. Nothing is emailed, uploaded, or shared with any outside service.</w:t>
      </w:r>
    </w:p>
    <w:p>
      <w:pPr>
        <w:pStyle w:val="Heading1"/>
        <w:pBdr>
          <w:bottom w:val="single" w:color="1F3864" w:sz="6" w:space="4"/>
        </w:pBdr>
        <w:spacing w:after="160" w:before="360"/>
      </w:pPr>
      <w:r>
        <w:rPr>
          <w:rFonts w:ascii="Calibri" w:cs="Calibri" w:eastAsia="Calibri" w:hAnsi="Calibri"/>
          <w:b/>
          <w:bCs/>
          <w:color w:val="1F3864"/>
          <w:sz w:val="30"/>
          <w:szCs w:val="30"/>
        </w:rPr>
        <w:t xml:space="preserve">7. How your login details are kept safe</w:t>
      </w:r>
    </w:p>
    <w:p>
      <w:pPr>
        <w:spacing w:after="140" w:line="288"/>
      </w:pPr>
      <w:r>
        <w:rPr>
          <w:rFonts w:ascii="Calibri" w:cs="Calibri" w:eastAsia="Calibri" w:hAnsi="Calibri"/>
          <w:sz w:val="22"/>
          <w:szCs w:val="22"/>
        </w:rPr>
        <w:t xml:space="preserve">Your password is stored using the same secure, encrypted protection Windows itself uses to remember saved passwords. It is never written into a plain file, a spreadsheet, an email, or a chat message. Only the automated login step uses it, directly, without anyone needing to see or retype it each time.</w:t>
      </w:r>
    </w:p>
    <w:p>
      <w:pPr>
        <w:pStyle w:val="Heading1"/>
        <w:pBdr>
          <w:bottom w:val="single" w:color="1F3864" w:sz="6" w:space="4"/>
        </w:pBdr>
        <w:spacing w:after="160" w:before="360"/>
      </w:pPr>
      <w:r>
        <w:rPr>
          <w:rFonts w:ascii="Calibri" w:cs="Calibri" w:eastAsia="Calibri" w:hAnsi="Calibri"/>
          <w:b/>
          <w:bCs/>
          <w:color w:val="1F3864"/>
          <w:sz w:val="30"/>
          <w:szCs w:val="30"/>
        </w:rPr>
        <w:t xml:space="preserve">8. Questions you may have</w:t>
      </w:r>
    </w:p>
    <w:p>
      <w:pPr>
        <w:spacing w:after="140" w:line="288"/>
      </w:pPr>
      <w:r>
        <w:rPr>
          <w:rFonts w:ascii="Calibri" w:cs="Calibri" w:eastAsia="Calibri" w:hAnsi="Calibri"/>
          <w:sz w:val="22"/>
          <w:szCs w:val="22"/>
        </w:rPr>
        <w:t xml:space="preserve"/>
      </w:r>
      <w:r>
        <w:rPr>
          <w:rFonts w:ascii="Calibri" w:cs="Calibri" w:eastAsia="Calibri" w:hAnsi="Calibri"/>
          <w:b/>
          <w:bCs/>
          <w:sz w:val="22"/>
          <w:szCs w:val="22"/>
        </w:rPr>
        <w:t xml:space="preserve">Q. Is this allowed under URA's rules?</w:t>
      </w:r>
      <w:r>
        <w:rPr>
          <w:rFonts w:ascii="Calibri" w:cs="Calibri" w:eastAsia="Calibri" w:hAnsi="Calibri"/>
          <w:sz w:val="22"/>
          <w:szCs w:val="22"/>
        </w:rPr>
        <w:t xml:space="preserve"/>
      </w:r>
    </w:p>
    <w:p>
      <w:pPr>
        <w:spacing w:after="140" w:line="288"/>
      </w:pPr>
      <w:r>
        <w:rPr>
          <w:rFonts w:ascii="Calibri" w:cs="Calibri" w:eastAsia="Calibri" w:hAnsi="Calibri"/>
          <w:sz w:val="22"/>
          <w:szCs w:val="22"/>
        </w:rPr>
        <w:t xml:space="preserve">The tool only repeats the exact steps our team is already authorised to take on your behalf, using the access you have already provided. Before using this at scale, we are also confirming this aligns with URA's own terms of use.</w:t>
      </w:r>
    </w:p>
    <w:p>
      <w:pPr>
        <w:spacing w:after="140" w:line="288"/>
      </w:pPr>
      <w:r>
        <w:rPr>
          <w:rFonts w:ascii="Calibri" w:cs="Calibri" w:eastAsia="Calibri" w:hAnsi="Calibri"/>
          <w:sz w:val="22"/>
          <w:szCs w:val="22"/>
        </w:rPr>
        <w:t xml:space="preserve"/>
      </w:r>
      <w:r>
        <w:rPr>
          <w:rFonts w:ascii="Calibri" w:cs="Calibri" w:eastAsia="Calibri" w:hAnsi="Calibri"/>
          <w:b/>
          <w:bCs/>
          <w:sz w:val="22"/>
          <w:szCs w:val="22"/>
        </w:rPr>
        <w:t xml:space="preserve">Q. What if the tool makes a mistake?</w:t>
      </w:r>
      <w:r>
        <w:rPr>
          <w:rFonts w:ascii="Calibri" w:cs="Calibri" w:eastAsia="Calibri" w:hAnsi="Calibri"/>
          <w:sz w:val="22"/>
          <w:szCs w:val="22"/>
        </w:rPr>
        <w:t xml:space="preserve"/>
      </w:r>
    </w:p>
    <w:p>
      <w:pPr>
        <w:spacing w:after="140" w:line="288"/>
      </w:pPr>
      <w:r>
        <w:rPr>
          <w:rFonts w:ascii="Calibri" w:cs="Calibri" w:eastAsia="Calibri" w:hAnsi="Calibri"/>
          <w:sz w:val="22"/>
          <w:szCs w:val="22"/>
        </w:rPr>
        <w:t xml:space="preserve">It cannot file, submit, or pay anything, so there is no way for it to take an action that affects your account. At most, a document might be missed, and our checklist step is specifically designed to catch that before your file is finalised.</w:t>
      </w:r>
    </w:p>
    <w:p>
      <w:pPr>
        <w:spacing w:after="140" w:line="288"/>
      </w:pPr>
      <w:r>
        <w:rPr>
          <w:rFonts w:ascii="Calibri" w:cs="Calibri" w:eastAsia="Calibri" w:hAnsi="Calibri"/>
          <w:sz w:val="22"/>
          <w:szCs w:val="22"/>
        </w:rPr>
        <w:t xml:space="preserve"/>
      </w:r>
      <w:r>
        <w:rPr>
          <w:rFonts w:ascii="Calibri" w:cs="Calibri" w:eastAsia="Calibri" w:hAnsi="Calibri"/>
          <w:b/>
          <w:bCs/>
          <w:sz w:val="22"/>
          <w:szCs w:val="22"/>
        </w:rPr>
        <w:t xml:space="preserve">Q. What if URA changes their website?</w:t>
      </w:r>
      <w:r>
        <w:rPr>
          <w:rFonts w:ascii="Calibri" w:cs="Calibri" w:eastAsia="Calibri" w:hAnsi="Calibri"/>
          <w:sz w:val="22"/>
          <w:szCs w:val="22"/>
        </w:rPr>
        <w:t xml:space="preserve"/>
      </w:r>
    </w:p>
    <w:p>
      <w:pPr>
        <w:spacing w:after="140" w:line="288"/>
      </w:pPr>
      <w:r>
        <w:rPr>
          <w:rFonts w:ascii="Calibri" w:cs="Calibri" w:eastAsia="Calibri" w:hAnsi="Calibri"/>
          <w:sz w:val="22"/>
          <w:szCs w:val="22"/>
        </w:rPr>
        <w:t xml:space="preserve">The tool is built to notice when something looks unexpected and stop rather than guess. Our team would then check it and make a small adjustment, the same as we would notice and adapt manually today.</w:t>
      </w:r>
    </w:p>
    <w:p>
      <w:pPr>
        <w:spacing w:after="140" w:line="288"/>
      </w:pPr>
      <w:r>
        <w:rPr>
          <w:rFonts w:ascii="Calibri" w:cs="Calibri" w:eastAsia="Calibri" w:hAnsi="Calibri"/>
          <w:sz w:val="22"/>
          <w:szCs w:val="22"/>
        </w:rPr>
        <w:t xml:space="preserve"/>
      </w:r>
      <w:r>
        <w:rPr>
          <w:rFonts w:ascii="Calibri" w:cs="Calibri" w:eastAsia="Calibri" w:hAnsi="Calibri"/>
          <w:b/>
          <w:bCs/>
          <w:sz w:val="22"/>
          <w:szCs w:val="22"/>
        </w:rPr>
        <w:t xml:space="preserve">Q. Will this change how quickly I get my documents?</w:t>
      </w:r>
      <w:r>
        <w:rPr>
          <w:rFonts w:ascii="Calibri" w:cs="Calibri" w:eastAsia="Calibri" w:hAnsi="Calibri"/>
          <w:sz w:val="22"/>
          <w:szCs w:val="22"/>
        </w:rPr>
        <w:t xml:space="preserve"/>
      </w:r>
    </w:p>
    <w:p>
      <w:pPr>
        <w:spacing w:after="140" w:line="288"/>
      </w:pPr>
      <w:r>
        <w:rPr>
          <w:rFonts w:ascii="Calibri" w:cs="Calibri" w:eastAsia="Calibri" w:hAnsi="Calibri"/>
          <w:sz w:val="22"/>
          <w:szCs w:val="22"/>
        </w:rPr>
        <w:t xml:space="preserve">It should make turnaround faster and more consistent, since the repetitive downloading no longer depends on when a team member has free time to click through it manually.</w:t>
      </w:r>
    </w:p>
    <w:p>
      <w:pPr>
        <w:spacing w:after="140" w:line="288"/>
      </w:pPr>
      <w:r>
        <w:rPr>
          <w:rFonts w:ascii="Calibri" w:cs="Calibri" w:eastAsia="Calibri" w:hAnsi="Calibri"/>
          <w:sz w:val="22"/>
          <w:szCs w:val="22"/>
        </w:rPr>
        <w:t xml:space="preserve"/>
      </w:r>
      <w:r>
        <w:rPr>
          <w:rFonts w:ascii="Calibri" w:cs="Calibri" w:eastAsia="Calibri" w:hAnsi="Calibri"/>
          <w:b/>
          <w:bCs/>
          <w:sz w:val="22"/>
          <w:szCs w:val="22"/>
        </w:rPr>
        <w:t xml:space="preserve">Q. Who is responsible if something goes wrong?</w:t>
      </w:r>
      <w:r>
        <w:rPr>
          <w:rFonts w:ascii="Calibri" w:cs="Calibri" w:eastAsia="Calibri" w:hAnsi="Calibri"/>
          <w:sz w:val="22"/>
          <w:szCs w:val="22"/>
        </w:rPr>
        <w:t xml:space="preserve"/>
      </w:r>
    </w:p>
    <w:p>
      <w:pPr>
        <w:spacing w:after="140" w:line="288"/>
      </w:pPr>
      <w:r>
        <w:rPr>
          <w:rFonts w:ascii="Calibri" w:cs="Calibri" w:eastAsia="Calibri" w:hAnsi="Calibri"/>
          <w:sz w:val="22"/>
          <w:szCs w:val="22"/>
        </w:rPr>
        <w:t xml:space="preserve">Our team remains fully responsible for your reconciliation and your account, exactly as before. The tool is an internal aid, not a replacement for our review.</w:t>
      </w:r>
    </w:p>
    <w:p>
      <w:pPr>
        <w:pStyle w:val="Heading1"/>
        <w:pBdr>
          <w:bottom w:val="single" w:color="1F3864" w:sz="6" w:space="4"/>
        </w:pBdr>
        <w:spacing w:after="160" w:before="360"/>
      </w:pPr>
      <w:r>
        <w:rPr>
          <w:rFonts w:ascii="Calibri" w:cs="Calibri" w:eastAsia="Calibri" w:hAnsi="Calibri"/>
          <w:b/>
          <w:bCs/>
          <w:color w:val="1F3864"/>
          <w:sz w:val="30"/>
          <w:szCs w:val="30"/>
        </w:rPr>
        <w:t xml:space="preserve">9. In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E2EFDA" w:color="auto" w:val="clear"/>
            <w:tcMar>
              <w:top w:type="dxa" w:w="110"/>
              <w:left w:type="dxa" w:w="170"/>
              <w:bottom w:type="dxa" w:w="110"/>
              <w:right w:type="dxa" w:w="170"/>
            </w:tcMar>
          </w:tcPr>
          <w:p>
            <w:pPr>
              <w:spacing w:after="0"/>
            </w:pPr>
            <w:r>
              <w:rPr>
                <w:rFonts w:ascii="Calibri" w:cs="Calibri" w:eastAsia="Calibri" w:hAnsi="Calibri"/>
                <w:b/>
                <w:bCs/>
                <w:color w:val="375623"/>
                <w:sz w:val="21"/>
                <w:szCs w:val="21"/>
              </w:rPr>
              <w:t xml:space="preserve">The bottom line: </w:t>
            </w:r>
            <w:r>
              <w:rPr>
                <w:rFonts w:ascii="Calibri" w:cs="Calibri" w:eastAsia="Calibri" w:hAnsi="Calibri"/>
                <w:sz w:val="21"/>
                <w:szCs w:val="21"/>
              </w:rPr>
              <w:t xml:space="preserve">Same access, same process, same person confirming the sensitive steps. We are simply removing the repetitive clicking so our team can spend more time reviewing your numbers and less time collecting them.</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Automating Your URA Document Collection | Client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2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Automating Your URA Document Collection</dc:title>
  <dc:creator>Client briefing</dc:creator>
  <cp:lastModifiedBy>Un-named</cp:lastModifiedBy>
  <cp:revision>1</cp:revision>
  <dcterms:created xsi:type="dcterms:W3CDTF">2026-09-22T07:36:20.640Z</dcterms:created>
  <dcterms:modified xsi:type="dcterms:W3CDTF">2026-09-22T07:36:20.648Z</dcterms:modified>
</cp:coreProperties>
</file>

<file path=docProps/custom.xml><?xml version="1.0" encoding="utf-8"?>
<Properties xmlns="http://schemas.openxmlformats.org/officeDocument/2006/custom-properties" xmlns:vt="http://schemas.openxmlformats.org/officeDocument/2006/docPropsVTypes"/>
</file>