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WEEK 3 PROJECT REPORT</w:t>
      </w:r>
    </w:p>
    <w:p>
      <w:pPr>
        <w:jc w:val="center"/>
      </w:pPr>
      <w:r>
        <w:rPr>
          <w:b/>
          <w:sz w:val="32"/>
        </w:rPr>
        <w:t>Customer Segmentation Using Unsupervised Learning and Clustering Techniques</w:t>
      </w:r>
    </w:p>
    <w:p>
      <w:pPr>
        <w:jc w:val="center"/>
      </w:pPr>
      <w:r>
        <w:rPr>
          <w:b/>
        </w:rPr>
        <w:t>Dataset: Mall Customers</w:t>
        <w:br/>
      </w:r>
      <w:r>
        <w:t>Algorithm: K-Means Clustering</w:t>
        <w:br/>
      </w:r>
      <w:r>
        <w:t>Comparison: Agglomerative Hierarchical Clustering</w:t>
      </w:r>
    </w:p>
    <w:p>
      <w:r>
        <w:br w:type="page"/>
      </w:r>
    </w:p>
    <w:p>
      <w:pPr>
        <w:pStyle w:val="Heading1"/>
      </w:pPr>
      <w:r>
        <w:t>1. Abstract</w:t>
      </w:r>
    </w:p>
    <w:p>
      <w:r>
        <w:t>This project applies unsupervised learning to segment customers using the Mall Customers dataset. CustomerID and the categorical Genre variable were not used for clustering. The clustering features were Age, Annual Income (k$), and Spending Score (1-100). StandardScaler was applied before distance-based clustering. The Elbow Method suggested a practical choice of K=4, and the final K-Means model achieved a silhouette score of approximately 0.4040. Agglomerative Hierarchical Clustering with four clusters achieved approximately 0.3615. Based on the higher silhouette score, simplicity, and interpretability, K-Means was selected for the final segmentation.</w:t>
      </w:r>
    </w:p>
    <w:p>
      <w:pPr>
        <w:pStyle w:val="Heading1"/>
      </w:pPr>
      <w:r>
        <w:t>2. Introduction</w:t>
      </w:r>
    </w:p>
    <w:p>
      <w:r>
        <w:t>Customer segmentation groups customers with similar characteristics or behaviours. Unsupervised learning is useful when predefined customer labels are unavailable. In this project, clustering is used to discover meaningful customer groups based on age, income, and spending behaviour.</w:t>
      </w:r>
    </w:p>
    <w:p>
      <w:pPr>
        <w:pStyle w:val="Heading1"/>
      </w:pPr>
      <w:r>
        <w:t>3. Problem Statement</w:t>
      </w:r>
    </w:p>
    <w:p>
      <w:r>
        <w:t>The objective is to identify distinct customer segments from the Mall Customers dataset without using predefined target labels. The resulting segments can help a business understand customer behaviour and design more targeted marketing strategies.</w:t>
      </w:r>
    </w:p>
    <w:p>
      <w:pPr>
        <w:pStyle w:val="Heading1"/>
      </w:pPr>
      <w:r>
        <w:t>4. Objectives</w:t>
      </w:r>
    </w:p>
    <w:p>
      <w:pPr>
        <w:pStyle w:val="ListBullet"/>
      </w:pPr>
      <w:r>
        <w:t>Apply an unsupervised clustering technique to the Mall Customers dataset.</w:t>
      </w:r>
    </w:p>
    <w:p>
      <w:pPr>
        <w:pStyle w:val="ListBullet"/>
      </w:pPr>
      <w:r>
        <w:t>Select meaningful numerical features for clustering.</w:t>
      </w:r>
    </w:p>
    <w:p>
      <w:pPr>
        <w:pStyle w:val="ListBullet"/>
      </w:pPr>
      <w:r>
        <w:t>Standardize the selected features before distance-based clustering.</w:t>
      </w:r>
    </w:p>
    <w:p>
      <w:pPr>
        <w:pStyle w:val="ListBullet"/>
      </w:pPr>
      <w:r>
        <w:t>Determine a practical number of clusters using the Elbow Method and Silhouette Score.</w:t>
      </w:r>
    </w:p>
    <w:p>
      <w:pPr>
        <w:pStyle w:val="ListBullet"/>
      </w:pPr>
      <w:r>
        <w:t>Build a K-Means clustering model and interpret the resulting customer groups.</w:t>
      </w:r>
    </w:p>
    <w:p>
      <w:pPr>
        <w:pStyle w:val="ListBullet"/>
      </w:pPr>
      <w:r>
        <w:t>Compare K-Means with Agglomerative Hierarchical Clustering.</w:t>
      </w:r>
    </w:p>
    <w:p>
      <w:pPr>
        <w:pStyle w:val="ListBullet"/>
      </w:pPr>
      <w:r>
        <w:t>Derive business insights from the identified segments.</w:t>
      </w:r>
    </w:p>
    <w:p>
      <w:pPr>
        <w:pStyle w:val="Heading1"/>
      </w:pPr>
      <w:r>
        <w:t>5. Dataset Description</w:t>
      </w:r>
    </w:p>
    <w:p>
      <w:r>
        <w:t>The Mall Customers dataset contains 200 customer records and five columns: CustomerID, Genre, Age, Annual Income (k$), and Spending Score (1-100). There are no missing values.</w:t>
      </w:r>
    </w:p>
    <w:tbl>
      <w:tblPr>
        <w:tblW w:type="auto" w:w="0"/>
        <w:jc w:val="center"/>
        <w:tblLook w:firstColumn="1" w:firstRow="1" w:lastColumn="0" w:lastRow="0" w:noHBand="0" w:noVBand="1" w:val="04A0"/>
      </w:tblPr>
      <w:tblGrid>
        <w:gridCol w:w="3312"/>
        <w:gridCol w:w="3312"/>
        <w:gridCol w:w="3312"/>
      </w:tblGrid>
      <w:tr>
        <w:tc>
          <w:tcPr>
            <w:tcW w:type="dxa" w:w="3312"/>
          </w:tcPr>
          <w:p>
            <w:r>
              <w:rPr>
                <w:rFonts w:ascii="Arial" w:hAnsi="Arial"/>
                <w:sz w:val="18"/>
              </w:rPr>
              <w:t>Column</w:t>
            </w:r>
          </w:p>
        </w:tc>
        <w:tc>
          <w:tcPr>
            <w:tcW w:type="dxa" w:w="3312"/>
          </w:tcPr>
          <w:p>
            <w:r>
              <w:rPr>
                <w:rFonts w:ascii="Arial" w:hAnsi="Arial"/>
                <w:sz w:val="18"/>
              </w:rPr>
              <w:t>Type</w:t>
            </w:r>
          </w:p>
        </w:tc>
        <w:tc>
          <w:tcPr>
            <w:tcW w:type="dxa" w:w="3312"/>
          </w:tcPr>
          <w:p>
            <w:r>
              <w:rPr>
                <w:rFonts w:ascii="Arial" w:hAnsi="Arial"/>
                <w:sz w:val="18"/>
              </w:rPr>
              <w:t>Role</w:t>
            </w:r>
          </w:p>
        </w:tc>
      </w:tr>
      <w:tr>
        <w:tc>
          <w:tcPr>
            <w:tcW w:type="dxa" w:w="3312"/>
          </w:tcPr>
          <w:p>
            <w:r>
              <w:rPr>
                <w:rFonts w:ascii="Arial" w:hAnsi="Arial"/>
                <w:sz w:val="18"/>
              </w:rPr>
              <w:t>CustomerID</w:t>
            </w:r>
          </w:p>
        </w:tc>
        <w:tc>
          <w:tcPr>
            <w:tcW w:type="dxa" w:w="3312"/>
          </w:tcPr>
          <w:p>
            <w:r>
              <w:rPr>
                <w:rFonts w:ascii="Arial" w:hAnsi="Arial"/>
                <w:sz w:val="18"/>
              </w:rPr>
              <w:t>Integer</w:t>
            </w:r>
          </w:p>
        </w:tc>
        <w:tc>
          <w:tcPr>
            <w:tcW w:type="dxa" w:w="3312"/>
          </w:tcPr>
          <w:p>
            <w:r>
              <w:rPr>
                <w:rFonts w:ascii="Arial" w:hAnsi="Arial"/>
                <w:sz w:val="18"/>
              </w:rPr>
              <w:t>Identifier; excluded</w:t>
            </w:r>
          </w:p>
        </w:tc>
      </w:tr>
      <w:tr>
        <w:tc>
          <w:tcPr>
            <w:tcW w:type="dxa" w:w="3312"/>
          </w:tcPr>
          <w:p>
            <w:r>
              <w:rPr>
                <w:rFonts w:ascii="Arial" w:hAnsi="Arial"/>
                <w:sz w:val="18"/>
              </w:rPr>
              <w:t>Genre</w:t>
            </w:r>
          </w:p>
        </w:tc>
        <w:tc>
          <w:tcPr>
            <w:tcW w:type="dxa" w:w="3312"/>
          </w:tcPr>
          <w:p>
            <w:r>
              <w:rPr>
                <w:rFonts w:ascii="Arial" w:hAnsi="Arial"/>
                <w:sz w:val="18"/>
              </w:rPr>
              <w:t>Object</w:t>
            </w:r>
          </w:p>
        </w:tc>
        <w:tc>
          <w:tcPr>
            <w:tcW w:type="dxa" w:w="3312"/>
          </w:tcPr>
          <w:p>
            <w:r>
              <w:rPr>
                <w:rFonts w:ascii="Arial" w:hAnsi="Arial"/>
                <w:sz w:val="18"/>
              </w:rPr>
              <w:t>Categorical; retained only for post-clustering profiling</w:t>
            </w:r>
          </w:p>
        </w:tc>
      </w:tr>
      <w:tr>
        <w:tc>
          <w:tcPr>
            <w:tcW w:type="dxa" w:w="3312"/>
          </w:tcPr>
          <w:p>
            <w:r>
              <w:rPr>
                <w:rFonts w:ascii="Arial" w:hAnsi="Arial"/>
                <w:sz w:val="18"/>
              </w:rPr>
              <w:t>Age</w:t>
            </w:r>
          </w:p>
        </w:tc>
        <w:tc>
          <w:tcPr>
            <w:tcW w:type="dxa" w:w="3312"/>
          </w:tcPr>
          <w:p>
            <w:r>
              <w:rPr>
                <w:rFonts w:ascii="Arial" w:hAnsi="Arial"/>
                <w:sz w:val="18"/>
              </w:rPr>
              <w:t>Integer</w:t>
            </w:r>
          </w:p>
        </w:tc>
        <w:tc>
          <w:tcPr>
            <w:tcW w:type="dxa" w:w="3312"/>
          </w:tcPr>
          <w:p>
            <w:r>
              <w:rPr>
                <w:rFonts w:ascii="Arial" w:hAnsi="Arial"/>
                <w:sz w:val="18"/>
              </w:rPr>
              <w:t>Clustering feature</w:t>
            </w:r>
          </w:p>
        </w:tc>
      </w:tr>
      <w:tr>
        <w:tc>
          <w:tcPr>
            <w:tcW w:type="dxa" w:w="3312"/>
          </w:tcPr>
          <w:p>
            <w:r>
              <w:rPr>
                <w:rFonts w:ascii="Arial" w:hAnsi="Arial"/>
                <w:sz w:val="18"/>
              </w:rPr>
              <w:t>Annual Income (k$)</w:t>
            </w:r>
          </w:p>
        </w:tc>
        <w:tc>
          <w:tcPr>
            <w:tcW w:type="dxa" w:w="3312"/>
          </w:tcPr>
          <w:p>
            <w:r>
              <w:rPr>
                <w:rFonts w:ascii="Arial" w:hAnsi="Arial"/>
                <w:sz w:val="18"/>
              </w:rPr>
              <w:t>Integer</w:t>
            </w:r>
          </w:p>
        </w:tc>
        <w:tc>
          <w:tcPr>
            <w:tcW w:type="dxa" w:w="3312"/>
          </w:tcPr>
          <w:p>
            <w:r>
              <w:rPr>
                <w:rFonts w:ascii="Arial" w:hAnsi="Arial"/>
                <w:sz w:val="18"/>
              </w:rPr>
              <w:t>Clustering feature</w:t>
            </w:r>
          </w:p>
        </w:tc>
      </w:tr>
      <w:tr>
        <w:tc>
          <w:tcPr>
            <w:tcW w:type="dxa" w:w="3312"/>
          </w:tcPr>
          <w:p>
            <w:r>
              <w:rPr>
                <w:rFonts w:ascii="Arial" w:hAnsi="Arial"/>
                <w:sz w:val="18"/>
              </w:rPr>
              <w:t>Spending Score (1-100)</w:t>
            </w:r>
          </w:p>
        </w:tc>
        <w:tc>
          <w:tcPr>
            <w:tcW w:type="dxa" w:w="3312"/>
          </w:tcPr>
          <w:p>
            <w:r>
              <w:rPr>
                <w:rFonts w:ascii="Arial" w:hAnsi="Arial"/>
                <w:sz w:val="18"/>
              </w:rPr>
              <w:t>Integer</w:t>
            </w:r>
          </w:p>
        </w:tc>
        <w:tc>
          <w:tcPr>
            <w:tcW w:type="dxa" w:w="3312"/>
          </w:tcPr>
          <w:p>
            <w:r>
              <w:rPr>
                <w:rFonts w:ascii="Arial" w:hAnsi="Arial"/>
                <w:sz w:val="18"/>
              </w:rPr>
              <w:t>Clustering feature</w:t>
            </w:r>
          </w:p>
        </w:tc>
      </w:tr>
    </w:tbl>
    <w:p>
      <w:r>
        <w:t>Descriptive statistics: mean Age = 38.85 years, mean Annual Income = 60.56 k$, and mean Spending Score = 50.20. The ranges are 18–70 years, 15–137 k$, and 1–99 respectively.</w:t>
      </w:r>
    </w:p>
    <w:p>
      <w:pPr>
        <w:pStyle w:val="Heading1"/>
      </w:pPr>
      <w:r>
        <w:t>6. Tools and Technologies</w:t>
      </w:r>
    </w:p>
    <w:p>
      <w:r>
        <w:t>Python, Pandas, NumPy, Matplotlib, Seaborn, Scikit-learn, and SciPy were used for data preparation, visualization, clustering, and evaluation.</w:t>
      </w:r>
    </w:p>
    <w:p>
      <w:pPr>
        <w:pStyle w:val="Heading1"/>
      </w:pPr>
      <w:r>
        <w:t>7. Data Preprocessing</w:t>
      </w:r>
    </w:p>
    <w:p>
      <w:pPr>
        <w:pStyle w:val="Heading2"/>
      </w:pPr>
      <w:r>
        <w:t>7.1 Loading and Inspection</w:t>
      </w:r>
    </w:p>
    <w:p>
      <w:pPr>
        <w:ind w:left="360"/>
      </w:pPr>
      <w:r>
        <w:rPr>
          <w:rFonts w:ascii="Consolas" w:hAnsi="Consolas"/>
          <w:sz w:val="17"/>
        </w:rPr>
        <w:t>import pandas as pd</w:t>
        <w:br/>
        <w:t>import numpy as np</w:t>
        <w:br/>
        <w:t>import matplotlib.pyplot as plt</w:t>
        <w:br/>
        <w:t>import seaborn as sns</w:t>
        <w:br/>
        <w:br/>
        <w:t>df = pd.read_csv("Mall_Customers.csv")</w:t>
        <w:br/>
        <w:br/>
        <w:t>df.info()</w:t>
        <w:br/>
        <w:t>print(df.shape)</w:t>
        <w:br/>
        <w:t>print(df.head())</w:t>
        <w:br/>
        <w:t>print(df.describe())</w:t>
        <w:br/>
        <w:t>print(df.isnull().sum())</w:t>
      </w:r>
    </w:p>
    <w:p>
      <w:pPr>
        <w:pStyle w:val="Heading2"/>
      </w:pPr>
      <w:r>
        <w:t>7.2 Feature Selection</w:t>
      </w:r>
    </w:p>
    <w:p>
      <w:r>
        <w:t>CustomerID is an identifier and therefore should not affect distance calculations. Genre is categorical and was deliberately excluded from the clustering matrix. It was retained in the dataframe for later demographic profiling.</w:t>
      </w:r>
    </w:p>
    <w:p>
      <w:pPr>
        <w:ind w:left="360"/>
      </w:pPr>
      <w:r>
        <w:rPr>
          <w:rFonts w:ascii="Consolas" w:hAnsi="Consolas"/>
          <w:sz w:val="17"/>
        </w:rPr>
        <w:t>df = df.drop("CustomerID", axis=1)</w:t>
        <w:br/>
        <w:br/>
        <w:t>X = df[[</w:t>
        <w:br/>
        <w:t xml:space="preserve">    "Age",</w:t>
        <w:br/>
        <w:t xml:space="preserve">    "Annual Income (k$)",</w:t>
        <w:br/>
        <w:t xml:space="preserve">    "Spending Score (1-100)"</w:t>
        <w:br/>
        <w:t>]]</w:t>
      </w:r>
    </w:p>
    <w:p>
      <w:pPr>
        <w:pStyle w:val="Heading2"/>
      </w:pPr>
      <w:r>
        <w:t>7.3 Feature Scaling</w:t>
      </w:r>
    </w:p>
    <w:p>
      <w:pPr>
        <w:ind w:left="360"/>
      </w:pPr>
      <w:r>
        <w:rPr>
          <w:rFonts w:ascii="Consolas" w:hAnsi="Consolas"/>
          <w:sz w:val="17"/>
        </w:rPr>
        <w:t>from sklearn.preprocessing import StandardScaler</w:t>
        <w:br/>
        <w:br/>
        <w:t>scaler = StandardScaler()</w:t>
        <w:br/>
        <w:t>X_scaled = scaler.fit_transform(X)</w:t>
        <w:br/>
        <w:br/>
        <w:t>print(X_scaled[:5])</w:t>
      </w:r>
    </w:p>
    <w:p>
      <w:r>
        <w:t>Standardization places the three clustering variables on a comparable scale so that a feature with a larger numerical range does not dominate distance calculations.</w:t>
      </w:r>
    </w:p>
    <w:p>
      <w:pPr>
        <w:pStyle w:val="Heading1"/>
      </w:pPr>
      <w:r>
        <w:t>8. Determining the Number of Clusters</w:t>
      </w:r>
    </w:p>
    <w:p>
      <w:pPr>
        <w:pStyle w:val="Heading2"/>
      </w:pPr>
      <w:r>
        <w:t>8.1 Elbow Method</w:t>
      </w:r>
    </w:p>
    <w:p>
      <w:pPr>
        <w:ind w:left="360"/>
      </w:pPr>
      <w:r>
        <w:rPr>
          <w:rFonts w:ascii="Consolas" w:hAnsi="Consolas"/>
          <w:sz w:val="17"/>
        </w:rPr>
        <w:t>from sklearn.cluster import KMeans</w:t>
        <w:br/>
        <w:br/>
        <w:t>inertia = []</w:t>
        <w:br/>
        <w:t>K_values = range(1, 11)</w:t>
        <w:br/>
        <w:br/>
        <w:t>for k in K_values:</w:t>
        <w:br/>
        <w:t xml:space="preserve">    model = KMeans(n_clusters=k, random_state=42, n_init=10)</w:t>
        <w:br/>
        <w:t xml:space="preserve">    model.fit(X_scaled)</w:t>
        <w:br/>
        <w:t xml:space="preserve">    inertia.append(model.inertia_)</w:t>
        <w:br/>
        <w:br/>
        <w:t>plt.plot(K_values, inertia, marker="o")</w:t>
        <w:br/>
        <w:t>plt.xlabel("Number of Clusters (K)")</w:t>
        <w:br/>
        <w:t>plt.ylabel("WCSS / Inertia")</w:t>
        <w:br/>
        <w:t>plt.title("Elbow Method")</w:t>
        <w:br/>
        <w:t>plt.show()</w:t>
      </w:r>
    </w:p>
    <w:p>
      <w:r>
        <w:t>The Elbow Method showed a clear practical elbow around K=4. After four clusters, the reduction in within-cluster variation became less substantial. Therefore, K=4 was selected for the final model.</w:t>
      </w:r>
    </w:p>
    <w:p>
      <w:pPr>
        <w:pStyle w:val="Heading2"/>
      </w:pPr>
      <w:r>
        <w:t>8.2 Silhouette Analysis</w:t>
      </w:r>
    </w:p>
    <w:tbl>
      <w:tblPr>
        <w:tblW w:type="auto" w:w="0"/>
        <w:jc w:val="center"/>
        <w:tblLook w:firstColumn="1" w:firstRow="1" w:lastColumn="0" w:lastRow="0" w:noHBand="0" w:noVBand="1" w:val="04A0"/>
      </w:tblPr>
      <w:tblGrid>
        <w:gridCol w:w="4968"/>
        <w:gridCol w:w="4968"/>
      </w:tblGrid>
      <w:tr>
        <w:tc>
          <w:tcPr>
            <w:tcW w:type="dxa" w:w="4968"/>
          </w:tcPr>
          <w:p>
            <w:r>
              <w:rPr>
                <w:rFonts w:ascii="Arial" w:hAnsi="Arial"/>
                <w:sz w:val="18"/>
              </w:rPr>
              <w:t>K</w:t>
            </w:r>
          </w:p>
        </w:tc>
        <w:tc>
          <w:tcPr>
            <w:tcW w:type="dxa" w:w="4968"/>
          </w:tcPr>
          <w:p>
            <w:r>
              <w:rPr>
                <w:rFonts w:ascii="Arial" w:hAnsi="Arial"/>
                <w:sz w:val="18"/>
              </w:rPr>
              <w:t>Silhouette Score</w:t>
            </w:r>
          </w:p>
        </w:tc>
      </w:tr>
      <w:tr>
        <w:tc>
          <w:tcPr>
            <w:tcW w:type="dxa" w:w="4968"/>
          </w:tcPr>
          <w:p>
            <w:r>
              <w:rPr>
                <w:rFonts w:ascii="Arial" w:hAnsi="Arial"/>
                <w:sz w:val="18"/>
              </w:rPr>
              <w:t>2</w:t>
            </w:r>
          </w:p>
        </w:tc>
        <w:tc>
          <w:tcPr>
            <w:tcW w:type="dxa" w:w="4968"/>
          </w:tcPr>
          <w:p>
            <w:r>
              <w:rPr>
                <w:rFonts w:ascii="Arial" w:hAnsi="Arial"/>
                <w:sz w:val="18"/>
              </w:rPr>
              <w:t>0.3355</w:t>
            </w:r>
          </w:p>
        </w:tc>
      </w:tr>
      <w:tr>
        <w:tc>
          <w:tcPr>
            <w:tcW w:type="dxa" w:w="4968"/>
          </w:tcPr>
          <w:p>
            <w:r>
              <w:rPr>
                <w:rFonts w:ascii="Arial" w:hAnsi="Arial"/>
                <w:sz w:val="18"/>
              </w:rPr>
              <w:t>3</w:t>
            </w:r>
          </w:p>
        </w:tc>
        <w:tc>
          <w:tcPr>
            <w:tcW w:type="dxa" w:w="4968"/>
          </w:tcPr>
          <w:p>
            <w:r>
              <w:rPr>
                <w:rFonts w:ascii="Arial" w:hAnsi="Arial"/>
                <w:sz w:val="18"/>
              </w:rPr>
              <w:t>0.3578</w:t>
            </w:r>
          </w:p>
        </w:tc>
      </w:tr>
      <w:tr>
        <w:tc>
          <w:tcPr>
            <w:tcW w:type="dxa" w:w="4968"/>
          </w:tcPr>
          <w:p>
            <w:r>
              <w:rPr>
                <w:rFonts w:ascii="Arial" w:hAnsi="Arial"/>
                <w:sz w:val="18"/>
              </w:rPr>
              <w:t>4</w:t>
            </w:r>
          </w:p>
        </w:tc>
        <w:tc>
          <w:tcPr>
            <w:tcW w:type="dxa" w:w="4968"/>
          </w:tcPr>
          <w:p>
            <w:r>
              <w:rPr>
                <w:rFonts w:ascii="Arial" w:hAnsi="Arial"/>
                <w:sz w:val="18"/>
              </w:rPr>
              <w:t>0.4040</w:t>
            </w:r>
          </w:p>
        </w:tc>
      </w:tr>
      <w:tr>
        <w:tc>
          <w:tcPr>
            <w:tcW w:type="dxa" w:w="4968"/>
          </w:tcPr>
          <w:p>
            <w:r>
              <w:rPr>
                <w:rFonts w:ascii="Arial" w:hAnsi="Arial"/>
                <w:sz w:val="18"/>
              </w:rPr>
              <w:t>5</w:t>
            </w:r>
          </w:p>
        </w:tc>
        <w:tc>
          <w:tcPr>
            <w:tcW w:type="dxa" w:w="4968"/>
          </w:tcPr>
          <w:p>
            <w:r>
              <w:rPr>
                <w:rFonts w:ascii="Arial" w:hAnsi="Arial"/>
                <w:sz w:val="18"/>
              </w:rPr>
              <w:t>0.4166</w:t>
            </w:r>
          </w:p>
        </w:tc>
      </w:tr>
      <w:tr>
        <w:tc>
          <w:tcPr>
            <w:tcW w:type="dxa" w:w="4968"/>
          </w:tcPr>
          <w:p>
            <w:r>
              <w:rPr>
                <w:rFonts w:ascii="Arial" w:hAnsi="Arial"/>
                <w:sz w:val="18"/>
              </w:rPr>
              <w:t>6</w:t>
            </w:r>
          </w:p>
        </w:tc>
        <w:tc>
          <w:tcPr>
            <w:tcW w:type="dxa" w:w="4968"/>
          </w:tcPr>
          <w:p>
            <w:r>
              <w:rPr>
                <w:rFonts w:ascii="Arial" w:hAnsi="Arial"/>
                <w:sz w:val="18"/>
              </w:rPr>
              <w:t>0.4284</w:t>
            </w:r>
          </w:p>
        </w:tc>
      </w:tr>
      <w:tr>
        <w:tc>
          <w:tcPr>
            <w:tcW w:type="dxa" w:w="4968"/>
          </w:tcPr>
          <w:p>
            <w:r>
              <w:rPr>
                <w:rFonts w:ascii="Arial" w:hAnsi="Arial"/>
                <w:sz w:val="18"/>
              </w:rPr>
              <w:t>7</w:t>
            </w:r>
          </w:p>
        </w:tc>
        <w:tc>
          <w:tcPr>
            <w:tcW w:type="dxa" w:w="4968"/>
          </w:tcPr>
          <w:p>
            <w:r>
              <w:rPr>
                <w:rFonts w:ascii="Arial" w:hAnsi="Arial"/>
                <w:sz w:val="18"/>
              </w:rPr>
              <w:t>0.4172</w:t>
            </w:r>
          </w:p>
        </w:tc>
      </w:tr>
      <w:tr>
        <w:tc>
          <w:tcPr>
            <w:tcW w:type="dxa" w:w="4968"/>
          </w:tcPr>
          <w:p>
            <w:r>
              <w:rPr>
                <w:rFonts w:ascii="Arial" w:hAnsi="Arial"/>
                <w:sz w:val="18"/>
              </w:rPr>
              <w:t>8</w:t>
            </w:r>
          </w:p>
        </w:tc>
        <w:tc>
          <w:tcPr>
            <w:tcW w:type="dxa" w:w="4968"/>
          </w:tcPr>
          <w:p>
            <w:r>
              <w:rPr>
                <w:rFonts w:ascii="Arial" w:hAnsi="Arial"/>
                <w:sz w:val="18"/>
              </w:rPr>
              <w:t>0.4082</w:t>
            </w:r>
          </w:p>
        </w:tc>
      </w:tr>
      <w:tr>
        <w:tc>
          <w:tcPr>
            <w:tcW w:type="dxa" w:w="4968"/>
          </w:tcPr>
          <w:p>
            <w:r>
              <w:rPr>
                <w:rFonts w:ascii="Arial" w:hAnsi="Arial"/>
                <w:sz w:val="18"/>
              </w:rPr>
              <w:t>9</w:t>
            </w:r>
          </w:p>
        </w:tc>
        <w:tc>
          <w:tcPr>
            <w:tcW w:type="dxa" w:w="4968"/>
          </w:tcPr>
          <w:p>
            <w:r>
              <w:rPr>
                <w:rFonts w:ascii="Arial" w:hAnsi="Arial"/>
                <w:sz w:val="18"/>
              </w:rPr>
              <w:t>0.4177</w:t>
            </w:r>
          </w:p>
        </w:tc>
      </w:tr>
      <w:tr>
        <w:tc>
          <w:tcPr>
            <w:tcW w:type="dxa" w:w="4968"/>
          </w:tcPr>
          <w:p>
            <w:r>
              <w:rPr>
                <w:rFonts w:ascii="Arial" w:hAnsi="Arial"/>
                <w:sz w:val="18"/>
              </w:rPr>
              <w:t>10</w:t>
            </w:r>
          </w:p>
        </w:tc>
        <w:tc>
          <w:tcPr>
            <w:tcW w:type="dxa" w:w="4968"/>
          </w:tcPr>
          <w:p>
            <w:r>
              <w:rPr>
                <w:rFonts w:ascii="Arial" w:hAnsi="Arial"/>
                <w:sz w:val="18"/>
              </w:rPr>
              <w:t>0.4066</w:t>
            </w:r>
          </w:p>
        </w:tc>
      </w:tr>
    </w:tbl>
    <w:p>
      <w:r>
        <w:t>K=6 has the highest silhouette score (0.4284), but K=4 was retained because the Elbow Method gives a clear practical choice and K=4 provides simpler, highly interpretable customer segments. The difference between K=4 and K=6 is relatively small.</w:t>
      </w:r>
    </w:p>
    <w:p>
      <w:pPr>
        <w:pStyle w:val="Heading1"/>
      </w:pPr>
      <w:r>
        <w:t>9. Final K-Means Model</w:t>
      </w:r>
    </w:p>
    <w:p>
      <w:pPr>
        <w:ind w:left="360"/>
      </w:pPr>
      <w:r>
        <w:rPr>
          <w:rFonts w:ascii="Consolas" w:hAnsi="Consolas"/>
          <w:sz w:val="17"/>
        </w:rPr>
        <w:t>from sklearn.cluster import KMeans</w:t>
        <w:br/>
        <w:t>from sklearn.metrics import silhouette_score</w:t>
        <w:br/>
        <w:br/>
        <w:t>kmeans = KMeans(</w:t>
        <w:br/>
        <w:t xml:space="preserve">    n_clusters=4,</w:t>
        <w:br/>
        <w:t xml:space="preserve">    random_state=42,</w:t>
        <w:br/>
        <w:t xml:space="preserve">    n_init=10</w:t>
        <w:br/>
        <w:t>)</w:t>
        <w:br/>
        <w:br/>
        <w:t>labels = kmeans.fit_predict(X_scaled)</w:t>
        <w:br/>
        <w:t>df["Cluster"] = labels</w:t>
        <w:br/>
        <w:br/>
        <w:t>sil_score = silhouette_score(X_scaled, labels)</w:t>
        <w:br/>
        <w:t>print("Silhouette Score:", sil_score)</w:t>
        <w:br/>
        <w:br/>
        <w:t>print(df.groupby("Cluster")[[</w:t>
        <w:br/>
        <w:t xml:space="preserve">    "Age",</w:t>
        <w:br/>
        <w:t xml:space="preserve">    "Annual Income (k$)",</w:t>
        <w:br/>
        <w:t xml:space="preserve">    "Spending Score (1-100)"</w:t>
        <w:br/>
        <w:t>]].mean())</w:t>
      </w:r>
    </w:p>
    <w:p>
      <w:r>
        <w:t>Final K-Means silhouette score: 0.4039582785 (approximately 0.4040).</w:t>
      </w:r>
    </w:p>
    <w:p>
      <w:pPr>
        <w:pStyle w:val="Heading1"/>
      </w:pPr>
      <w:r>
        <w:t>10. Cluster Distribution</w:t>
      </w:r>
    </w:p>
    <w:tbl>
      <w:tblPr>
        <w:tblW w:type="auto" w:w="0"/>
        <w:jc w:val="center"/>
        <w:tblLook w:firstColumn="1" w:firstRow="1" w:lastColumn="0" w:lastRow="0" w:noHBand="0" w:noVBand="1" w:val="04A0"/>
      </w:tblPr>
      <w:tblGrid>
        <w:gridCol w:w="3312"/>
        <w:gridCol w:w="3312"/>
        <w:gridCol w:w="3312"/>
      </w:tblGrid>
      <w:tr>
        <w:tc>
          <w:tcPr>
            <w:tcW w:type="dxa" w:w="3312"/>
          </w:tcPr>
          <w:p>
            <w:r>
              <w:rPr>
                <w:rFonts w:ascii="Arial" w:hAnsi="Arial"/>
                <w:sz w:val="18"/>
              </w:rPr>
              <w:t>Cluster</w:t>
            </w:r>
          </w:p>
        </w:tc>
        <w:tc>
          <w:tcPr>
            <w:tcW w:type="dxa" w:w="3312"/>
          </w:tcPr>
          <w:p>
            <w:r>
              <w:rPr>
                <w:rFonts w:ascii="Arial" w:hAnsi="Arial"/>
                <w:sz w:val="18"/>
              </w:rPr>
              <w:t>Customers</w:t>
            </w:r>
          </w:p>
        </w:tc>
        <w:tc>
          <w:tcPr>
            <w:tcW w:type="dxa" w:w="3312"/>
          </w:tcPr>
          <w:p>
            <w:r>
              <w:rPr>
                <w:rFonts w:ascii="Arial" w:hAnsi="Arial"/>
                <w:sz w:val="18"/>
              </w:rPr>
              <w:t>Percentage</w:t>
            </w:r>
          </w:p>
        </w:tc>
      </w:tr>
      <w:tr>
        <w:tc>
          <w:tcPr>
            <w:tcW w:type="dxa" w:w="3312"/>
          </w:tcPr>
          <w:p>
            <w:r>
              <w:rPr>
                <w:rFonts w:ascii="Arial" w:hAnsi="Arial"/>
                <w:sz w:val="18"/>
              </w:rPr>
              <w:t>0</w:t>
            </w:r>
          </w:p>
        </w:tc>
        <w:tc>
          <w:tcPr>
            <w:tcW w:type="dxa" w:w="3312"/>
          </w:tcPr>
          <w:p>
            <w:r>
              <w:rPr>
                <w:rFonts w:ascii="Arial" w:hAnsi="Arial"/>
                <w:sz w:val="18"/>
              </w:rPr>
              <w:t>65</w:t>
            </w:r>
          </w:p>
        </w:tc>
        <w:tc>
          <w:tcPr>
            <w:tcW w:type="dxa" w:w="3312"/>
          </w:tcPr>
          <w:p>
            <w:r>
              <w:rPr>
                <w:rFonts w:ascii="Arial" w:hAnsi="Arial"/>
                <w:sz w:val="18"/>
              </w:rPr>
              <w:t>32.5%</w:t>
            </w:r>
          </w:p>
        </w:tc>
      </w:tr>
      <w:tr>
        <w:tc>
          <w:tcPr>
            <w:tcW w:type="dxa" w:w="3312"/>
          </w:tcPr>
          <w:p>
            <w:r>
              <w:rPr>
                <w:rFonts w:ascii="Arial" w:hAnsi="Arial"/>
                <w:sz w:val="18"/>
              </w:rPr>
              <w:t>1</w:t>
            </w:r>
          </w:p>
        </w:tc>
        <w:tc>
          <w:tcPr>
            <w:tcW w:type="dxa" w:w="3312"/>
          </w:tcPr>
          <w:p>
            <w:r>
              <w:rPr>
                <w:rFonts w:ascii="Arial" w:hAnsi="Arial"/>
                <w:sz w:val="18"/>
              </w:rPr>
              <w:t>40</w:t>
            </w:r>
          </w:p>
        </w:tc>
        <w:tc>
          <w:tcPr>
            <w:tcW w:type="dxa" w:w="3312"/>
          </w:tcPr>
          <w:p>
            <w:r>
              <w:rPr>
                <w:rFonts w:ascii="Arial" w:hAnsi="Arial"/>
                <w:sz w:val="18"/>
              </w:rPr>
              <w:t>20.0%</w:t>
            </w:r>
          </w:p>
        </w:tc>
      </w:tr>
      <w:tr>
        <w:tc>
          <w:tcPr>
            <w:tcW w:type="dxa" w:w="3312"/>
          </w:tcPr>
          <w:p>
            <w:r>
              <w:rPr>
                <w:rFonts w:ascii="Arial" w:hAnsi="Arial"/>
                <w:sz w:val="18"/>
              </w:rPr>
              <w:t>2</w:t>
            </w:r>
          </w:p>
        </w:tc>
        <w:tc>
          <w:tcPr>
            <w:tcW w:type="dxa" w:w="3312"/>
          </w:tcPr>
          <w:p>
            <w:r>
              <w:rPr>
                <w:rFonts w:ascii="Arial" w:hAnsi="Arial"/>
                <w:sz w:val="18"/>
              </w:rPr>
              <w:t>57</w:t>
            </w:r>
          </w:p>
        </w:tc>
        <w:tc>
          <w:tcPr>
            <w:tcW w:type="dxa" w:w="3312"/>
          </w:tcPr>
          <w:p>
            <w:r>
              <w:rPr>
                <w:rFonts w:ascii="Arial" w:hAnsi="Arial"/>
                <w:sz w:val="18"/>
              </w:rPr>
              <w:t>28.5%</w:t>
            </w:r>
          </w:p>
        </w:tc>
      </w:tr>
      <w:tr>
        <w:tc>
          <w:tcPr>
            <w:tcW w:type="dxa" w:w="3312"/>
          </w:tcPr>
          <w:p>
            <w:r>
              <w:rPr>
                <w:rFonts w:ascii="Arial" w:hAnsi="Arial"/>
                <w:sz w:val="18"/>
              </w:rPr>
              <w:t>3</w:t>
            </w:r>
          </w:p>
        </w:tc>
        <w:tc>
          <w:tcPr>
            <w:tcW w:type="dxa" w:w="3312"/>
          </w:tcPr>
          <w:p>
            <w:r>
              <w:rPr>
                <w:rFonts w:ascii="Arial" w:hAnsi="Arial"/>
                <w:sz w:val="18"/>
              </w:rPr>
              <w:t>38</w:t>
            </w:r>
          </w:p>
        </w:tc>
        <w:tc>
          <w:tcPr>
            <w:tcW w:type="dxa" w:w="3312"/>
          </w:tcPr>
          <w:p>
            <w:r>
              <w:rPr>
                <w:rFonts w:ascii="Arial" w:hAnsi="Arial"/>
                <w:sz w:val="18"/>
              </w:rPr>
              <w:t>19.0%</w:t>
            </w:r>
          </w:p>
        </w:tc>
      </w:tr>
    </w:tbl>
    <w:p>
      <w:pPr>
        <w:pStyle w:val="Heading1"/>
      </w:pPr>
      <w:r>
        <w:t>11. Cluster Profiles</w:t>
      </w:r>
    </w:p>
    <w:tbl>
      <w:tblPr>
        <w:tblW w:type="auto" w:w="0"/>
        <w:jc w:val="center"/>
        <w:tblLook w:firstColumn="1" w:firstRow="1" w:lastColumn="0" w:lastRow="0" w:noHBand="0" w:noVBand="1" w:val="04A0"/>
      </w:tblPr>
      <w:tblGrid>
        <w:gridCol w:w="2484"/>
        <w:gridCol w:w="2484"/>
        <w:gridCol w:w="2484"/>
        <w:gridCol w:w="2484"/>
      </w:tblGrid>
      <w:tr>
        <w:tc>
          <w:tcPr>
            <w:tcW w:type="dxa" w:w="2484"/>
          </w:tcPr>
          <w:p>
            <w:r>
              <w:rPr>
                <w:rFonts w:ascii="Arial" w:hAnsi="Arial"/>
                <w:sz w:val="18"/>
              </w:rPr>
              <w:t>Cluster</w:t>
            </w:r>
          </w:p>
        </w:tc>
        <w:tc>
          <w:tcPr>
            <w:tcW w:type="dxa" w:w="2484"/>
          </w:tcPr>
          <w:p>
            <w:r>
              <w:rPr>
                <w:rFonts w:ascii="Arial" w:hAnsi="Arial"/>
                <w:sz w:val="18"/>
              </w:rPr>
              <w:t>Average Age</w:t>
            </w:r>
          </w:p>
        </w:tc>
        <w:tc>
          <w:tcPr>
            <w:tcW w:type="dxa" w:w="2484"/>
          </w:tcPr>
          <w:p>
            <w:r>
              <w:rPr>
                <w:rFonts w:ascii="Arial" w:hAnsi="Arial"/>
                <w:sz w:val="18"/>
              </w:rPr>
              <w:t>Average Income (k$)</w:t>
            </w:r>
          </w:p>
        </w:tc>
        <w:tc>
          <w:tcPr>
            <w:tcW w:type="dxa" w:w="2484"/>
          </w:tcPr>
          <w:p>
            <w:r>
              <w:rPr>
                <w:rFonts w:ascii="Arial" w:hAnsi="Arial"/>
                <w:sz w:val="18"/>
              </w:rPr>
              <w:t>Average Spending Score</w:t>
            </w:r>
          </w:p>
        </w:tc>
      </w:tr>
      <w:tr>
        <w:tc>
          <w:tcPr>
            <w:tcW w:type="dxa" w:w="2484"/>
          </w:tcPr>
          <w:p>
            <w:r>
              <w:rPr>
                <w:rFonts w:ascii="Arial" w:hAnsi="Arial"/>
                <w:sz w:val="18"/>
              </w:rPr>
              <w:t>0</w:t>
            </w:r>
          </w:p>
        </w:tc>
        <w:tc>
          <w:tcPr>
            <w:tcW w:type="dxa" w:w="2484"/>
          </w:tcPr>
          <w:p>
            <w:r>
              <w:rPr>
                <w:rFonts w:ascii="Arial" w:hAnsi="Arial"/>
                <w:sz w:val="18"/>
              </w:rPr>
              <w:t>53.98</w:t>
            </w:r>
          </w:p>
        </w:tc>
        <w:tc>
          <w:tcPr>
            <w:tcW w:type="dxa" w:w="2484"/>
          </w:tcPr>
          <w:p>
            <w:r>
              <w:rPr>
                <w:rFonts w:ascii="Arial" w:hAnsi="Arial"/>
                <w:sz w:val="18"/>
              </w:rPr>
              <w:t>47.71</w:t>
            </w:r>
          </w:p>
        </w:tc>
        <w:tc>
          <w:tcPr>
            <w:tcW w:type="dxa" w:w="2484"/>
          </w:tcPr>
          <w:p>
            <w:r>
              <w:rPr>
                <w:rFonts w:ascii="Arial" w:hAnsi="Arial"/>
                <w:sz w:val="18"/>
              </w:rPr>
              <w:t>39.97</w:t>
            </w:r>
          </w:p>
        </w:tc>
      </w:tr>
      <w:tr>
        <w:tc>
          <w:tcPr>
            <w:tcW w:type="dxa" w:w="2484"/>
          </w:tcPr>
          <w:p>
            <w:r>
              <w:rPr>
                <w:rFonts w:ascii="Arial" w:hAnsi="Arial"/>
                <w:sz w:val="18"/>
              </w:rPr>
              <w:t>1</w:t>
            </w:r>
          </w:p>
        </w:tc>
        <w:tc>
          <w:tcPr>
            <w:tcW w:type="dxa" w:w="2484"/>
          </w:tcPr>
          <w:p>
            <w:r>
              <w:rPr>
                <w:rFonts w:ascii="Arial" w:hAnsi="Arial"/>
                <w:sz w:val="18"/>
              </w:rPr>
              <w:t>32.88</w:t>
            </w:r>
          </w:p>
        </w:tc>
        <w:tc>
          <w:tcPr>
            <w:tcW w:type="dxa" w:w="2484"/>
          </w:tcPr>
          <w:p>
            <w:r>
              <w:rPr>
                <w:rFonts w:ascii="Arial" w:hAnsi="Arial"/>
                <w:sz w:val="18"/>
              </w:rPr>
              <w:t>86.1</w:t>
            </w:r>
          </w:p>
        </w:tc>
        <w:tc>
          <w:tcPr>
            <w:tcW w:type="dxa" w:w="2484"/>
          </w:tcPr>
          <w:p>
            <w:r>
              <w:rPr>
                <w:rFonts w:ascii="Arial" w:hAnsi="Arial"/>
                <w:sz w:val="18"/>
              </w:rPr>
              <w:t>81.53</w:t>
            </w:r>
          </w:p>
        </w:tc>
      </w:tr>
      <w:tr>
        <w:tc>
          <w:tcPr>
            <w:tcW w:type="dxa" w:w="2484"/>
          </w:tcPr>
          <w:p>
            <w:r>
              <w:rPr>
                <w:rFonts w:ascii="Arial" w:hAnsi="Arial"/>
                <w:sz w:val="18"/>
              </w:rPr>
              <w:t>2</w:t>
            </w:r>
          </w:p>
        </w:tc>
        <w:tc>
          <w:tcPr>
            <w:tcW w:type="dxa" w:w="2484"/>
          </w:tcPr>
          <w:p>
            <w:r>
              <w:rPr>
                <w:rFonts w:ascii="Arial" w:hAnsi="Arial"/>
                <w:sz w:val="18"/>
              </w:rPr>
              <w:t>25.44</w:t>
            </w:r>
          </w:p>
        </w:tc>
        <w:tc>
          <w:tcPr>
            <w:tcW w:type="dxa" w:w="2484"/>
          </w:tcPr>
          <w:p>
            <w:r>
              <w:rPr>
                <w:rFonts w:ascii="Arial" w:hAnsi="Arial"/>
                <w:sz w:val="18"/>
              </w:rPr>
              <w:t>40.0</w:t>
            </w:r>
          </w:p>
        </w:tc>
        <w:tc>
          <w:tcPr>
            <w:tcW w:type="dxa" w:w="2484"/>
          </w:tcPr>
          <w:p>
            <w:r>
              <w:rPr>
                <w:rFonts w:ascii="Arial" w:hAnsi="Arial"/>
                <w:sz w:val="18"/>
              </w:rPr>
              <w:t>60.3</w:t>
            </w:r>
          </w:p>
        </w:tc>
      </w:tr>
      <w:tr>
        <w:tc>
          <w:tcPr>
            <w:tcW w:type="dxa" w:w="2484"/>
          </w:tcPr>
          <w:p>
            <w:r>
              <w:rPr>
                <w:rFonts w:ascii="Arial" w:hAnsi="Arial"/>
                <w:sz w:val="18"/>
              </w:rPr>
              <w:t>3</w:t>
            </w:r>
          </w:p>
        </w:tc>
        <w:tc>
          <w:tcPr>
            <w:tcW w:type="dxa" w:w="2484"/>
          </w:tcPr>
          <w:p>
            <w:r>
              <w:rPr>
                <w:rFonts w:ascii="Arial" w:hAnsi="Arial"/>
                <w:sz w:val="18"/>
              </w:rPr>
              <w:t>39.37</w:t>
            </w:r>
          </w:p>
        </w:tc>
        <w:tc>
          <w:tcPr>
            <w:tcW w:type="dxa" w:w="2484"/>
          </w:tcPr>
          <w:p>
            <w:r>
              <w:rPr>
                <w:rFonts w:ascii="Arial" w:hAnsi="Arial"/>
                <w:sz w:val="18"/>
              </w:rPr>
              <w:t>86.5</w:t>
            </w:r>
          </w:p>
        </w:tc>
        <w:tc>
          <w:tcPr>
            <w:tcW w:type="dxa" w:w="2484"/>
          </w:tcPr>
          <w:p>
            <w:r>
              <w:rPr>
                <w:rFonts w:ascii="Arial" w:hAnsi="Arial"/>
                <w:sz w:val="18"/>
              </w:rPr>
              <w:t>19.58</w:t>
            </w:r>
          </w:p>
        </w:tc>
      </w:tr>
    </w:tbl>
    <w:p>
      <w:pPr>
        <w:pStyle w:val="Heading1"/>
      </w:pPr>
      <w:r>
        <w:t>12. Cluster Interpretation</w:t>
      </w:r>
    </w:p>
    <w:p>
      <w:r>
        <w:rPr>
          <w:b/>
        </w:rPr>
        <w:t xml:space="preserve">Cluster 0 – Mature Moderate-Spending Customers: </w:t>
      </w:r>
      <w:r>
        <w:t>65 customers. They have the highest average age, moderate income, and moderate-to-low spending. They represent the largest segment.</w:t>
      </w:r>
    </w:p>
    <w:p>
      <w:r>
        <w:rPr>
          <w:b/>
        </w:rPr>
        <w:t xml:space="preserve">Cluster 1 – High-Value Customers: </w:t>
      </w:r>
      <w:r>
        <w:t>40 customers. They are relatively young, have high income, and have the highest spending score. They are strong candidates for premium products, loyalty rewards, and personalized recommendations.</w:t>
      </w:r>
    </w:p>
    <w:p>
      <w:r>
        <w:rPr>
          <w:b/>
        </w:rPr>
        <w:t xml:space="preserve">Cluster 2 – Young Potential Customers: </w:t>
      </w:r>
      <w:r>
        <w:t>57 customers. They are the youngest group, have lower average income, but comparatively high spending. Affordable premium products, youth-oriented campaigns, discounts, and loyalty programs may work well.</w:t>
      </w:r>
    </w:p>
    <w:p>
      <w:r>
        <w:rPr>
          <w:b/>
        </w:rPr>
        <w:t xml:space="preserve">Cluster 3 – High-Income Low-Spending Customers: </w:t>
      </w:r>
      <w:r>
        <w:t>38 customers. They have high income but the lowest spending score. Personalized offers, re-engagement campaigns, customer feedback, and targeted incentives can be used to understand and improve their engagement.</w:t>
      </w:r>
    </w:p>
    <w:p>
      <w:pPr>
        <w:pStyle w:val="Heading1"/>
      </w:pPr>
      <w:r>
        <w:t>13. Important Business Insight</w:t>
      </w:r>
    </w:p>
    <w:p>
      <w:r>
        <w:t>Clusters 1 and 3 have almost identical average annual income (86.10 k$ and 86.50 k$), but their average spending scores are dramatically different (81.53 and 19.58). This shows that income alone does not determine customer spending behaviour. Businesses should therefore consider behavioural variables such as spending score and age when designing customer strategies.</w:t>
      </w:r>
    </w:p>
    <w:p>
      <w:pPr>
        <w:pStyle w:val="Heading1"/>
      </w:pPr>
      <w:r>
        <w:t>14. Visualization</w:t>
      </w:r>
    </w:p>
    <w:p>
      <w:r>
        <w:t>The project includes visualizations for age distribution, annual income distribution, spending score distribution, Genre distribution, income versus spending score, age versus spending score, age versus income, the Elbow Method, K-Means clusters, cluster centroids, 3D clustering, and the hierarchical dendrogram.</w:t>
      </w:r>
    </w:p>
    <w:p>
      <w:pPr>
        <w:jc w:val="center"/>
      </w:pPr>
      <w:r>
        <w:rPr>
          <w:i/>
        </w:rPr>
        <w:t>[Insert generated figure here]</w:t>
        <w:br/>
        <w:t>Figure 1: Elbow Method</w:t>
      </w:r>
    </w:p>
    <w:p>
      <w:pPr>
        <w:jc w:val="center"/>
      </w:pPr>
      <w:r>
        <w:rPr>
          <w:i/>
        </w:rPr>
        <w:t>[Insert generated figure here]</w:t>
        <w:br/>
        <w:t>Figure 2: K-Means Cluster Visualization</w:t>
      </w:r>
    </w:p>
    <w:p>
      <w:pPr>
        <w:jc w:val="center"/>
      </w:pPr>
      <w:r>
        <w:rPr>
          <w:i/>
        </w:rPr>
        <w:t>[Insert generated figure here]</w:t>
        <w:br/>
        <w:t>Figure 3: K-Means Visualization with Centroids</w:t>
      </w:r>
    </w:p>
    <w:p>
      <w:pPr>
        <w:jc w:val="center"/>
      </w:pPr>
      <w:r>
        <w:rPr>
          <w:i/>
        </w:rPr>
        <w:t>[Insert generated figure here]</w:t>
        <w:br/>
        <w:t>Figure 4: 3D Cluster Visualization</w:t>
      </w:r>
    </w:p>
    <w:p>
      <w:pPr>
        <w:jc w:val="center"/>
      </w:pPr>
      <w:r>
        <w:rPr>
          <w:i/>
        </w:rPr>
        <w:t>[Insert generated figure here]</w:t>
        <w:br/>
        <w:t>Figure 5: Hierarchical Clustering Dendrogram</w:t>
      </w:r>
    </w:p>
    <w:p>
      <w:pPr>
        <w:pStyle w:val="Heading1"/>
      </w:pPr>
      <w:r>
        <w:t>15. Centroid Calculation</w:t>
      </w:r>
    </w:p>
    <w:p>
      <w:pPr>
        <w:ind w:left="360"/>
      </w:pPr>
      <w:r>
        <w:rPr>
          <w:rFonts w:ascii="Consolas" w:hAnsi="Consolas"/>
          <w:sz w:val="17"/>
        </w:rPr>
        <w:t>centroids = kmeans.cluster_centers_</w:t>
        <w:br/>
        <w:br/>
        <w:t>centroids_original = scaler.inverse_transform(centroids)</w:t>
        <w:br/>
        <w:br/>
        <w:t>centroid_df = pd.DataFrame(</w:t>
        <w:br/>
        <w:t xml:space="preserve">    centroids_original,</w:t>
        <w:br/>
        <w:t xml:space="preserve">    columns=[</w:t>
        <w:br/>
        <w:t xml:space="preserve">        "Age",</w:t>
        <w:br/>
        <w:t xml:space="preserve">        "Annual Income (k$)",</w:t>
        <w:br/>
        <w:t xml:space="preserve">        "Spending Score (1-100)"</w:t>
        <w:br/>
        <w:t xml:space="preserve">    ]</w:t>
        <w:br/>
        <w:t>).round(2)</w:t>
        <w:br/>
        <w:br/>
        <w:t>print(centroid_df)</w:t>
      </w:r>
    </w:p>
    <w:p>
      <w:pPr>
        <w:pStyle w:val="Heading1"/>
      </w:pPr>
      <w:r>
        <w:t>16. Genre-Based Post-Clustering Profiling</w:t>
      </w:r>
    </w:p>
    <w:p>
      <w:r>
        <w:t>Genre was not used to form the clusters. It is used only after clustering to describe the demographic composition of each segment.</w:t>
      </w:r>
    </w:p>
    <w:tbl>
      <w:tblPr>
        <w:tblW w:type="auto" w:w="0"/>
        <w:jc w:val="center"/>
        <w:tblLook w:firstColumn="1" w:firstRow="1" w:lastColumn="0" w:lastRow="0" w:noHBand="0" w:noVBand="1" w:val="04A0"/>
      </w:tblPr>
      <w:tblGrid>
        <w:gridCol w:w="2484"/>
        <w:gridCol w:w="2484"/>
        <w:gridCol w:w="2484"/>
        <w:gridCol w:w="2484"/>
      </w:tblGrid>
      <w:tr>
        <w:tc>
          <w:tcPr>
            <w:tcW w:type="dxa" w:w="2484"/>
          </w:tcPr>
          <w:p>
            <w:r>
              <w:rPr>
                <w:rFonts w:ascii="Arial" w:hAnsi="Arial"/>
                <w:sz w:val="18"/>
              </w:rPr>
              <w:t>Cluster</w:t>
            </w:r>
          </w:p>
        </w:tc>
        <w:tc>
          <w:tcPr>
            <w:tcW w:type="dxa" w:w="2484"/>
          </w:tcPr>
          <w:p>
            <w:r>
              <w:rPr>
                <w:rFonts w:ascii="Arial" w:hAnsi="Arial"/>
                <w:sz w:val="18"/>
              </w:rPr>
              <w:t>Female</w:t>
            </w:r>
          </w:p>
        </w:tc>
        <w:tc>
          <w:tcPr>
            <w:tcW w:type="dxa" w:w="2484"/>
          </w:tcPr>
          <w:p>
            <w:r>
              <w:rPr>
                <w:rFonts w:ascii="Arial" w:hAnsi="Arial"/>
                <w:sz w:val="18"/>
              </w:rPr>
              <w:t>Male</w:t>
            </w:r>
          </w:p>
        </w:tc>
        <w:tc>
          <w:tcPr>
            <w:tcW w:type="dxa" w:w="2484"/>
          </w:tcPr>
          <w:p>
            <w:r>
              <w:rPr>
                <w:rFonts w:ascii="Arial" w:hAnsi="Arial"/>
                <w:sz w:val="18"/>
              </w:rPr>
              <w:t>Total</w:t>
            </w:r>
          </w:p>
        </w:tc>
      </w:tr>
      <w:tr>
        <w:tc>
          <w:tcPr>
            <w:tcW w:type="dxa" w:w="2484"/>
          </w:tcPr>
          <w:p>
            <w:r>
              <w:rPr>
                <w:rFonts w:ascii="Arial" w:hAnsi="Arial"/>
                <w:sz w:val="18"/>
              </w:rPr>
              <w:t>0</w:t>
            </w:r>
          </w:p>
        </w:tc>
        <w:tc>
          <w:tcPr>
            <w:tcW w:type="dxa" w:w="2484"/>
          </w:tcPr>
          <w:p>
            <w:r>
              <w:rPr>
                <w:rFonts w:ascii="Arial" w:hAnsi="Arial"/>
                <w:sz w:val="18"/>
              </w:rPr>
              <w:t>37</w:t>
            </w:r>
          </w:p>
        </w:tc>
        <w:tc>
          <w:tcPr>
            <w:tcW w:type="dxa" w:w="2484"/>
          </w:tcPr>
          <w:p>
            <w:r>
              <w:rPr>
                <w:rFonts w:ascii="Arial" w:hAnsi="Arial"/>
                <w:sz w:val="18"/>
              </w:rPr>
              <w:t>28</w:t>
            </w:r>
          </w:p>
        </w:tc>
        <w:tc>
          <w:tcPr>
            <w:tcW w:type="dxa" w:w="2484"/>
          </w:tcPr>
          <w:p>
            <w:r>
              <w:rPr>
                <w:rFonts w:ascii="Arial" w:hAnsi="Arial"/>
                <w:sz w:val="18"/>
              </w:rPr>
              <w:t>65</w:t>
            </w:r>
          </w:p>
        </w:tc>
      </w:tr>
      <w:tr>
        <w:tc>
          <w:tcPr>
            <w:tcW w:type="dxa" w:w="2484"/>
          </w:tcPr>
          <w:p>
            <w:r>
              <w:rPr>
                <w:rFonts w:ascii="Arial" w:hAnsi="Arial"/>
                <w:sz w:val="18"/>
              </w:rPr>
              <w:t>1</w:t>
            </w:r>
          </w:p>
        </w:tc>
        <w:tc>
          <w:tcPr>
            <w:tcW w:type="dxa" w:w="2484"/>
          </w:tcPr>
          <w:p>
            <w:r>
              <w:rPr>
                <w:rFonts w:ascii="Arial" w:hAnsi="Arial"/>
                <w:sz w:val="18"/>
              </w:rPr>
              <w:t>22</w:t>
            </w:r>
          </w:p>
        </w:tc>
        <w:tc>
          <w:tcPr>
            <w:tcW w:type="dxa" w:w="2484"/>
          </w:tcPr>
          <w:p>
            <w:r>
              <w:rPr>
                <w:rFonts w:ascii="Arial" w:hAnsi="Arial"/>
                <w:sz w:val="18"/>
              </w:rPr>
              <w:t>18</w:t>
            </w:r>
          </w:p>
        </w:tc>
        <w:tc>
          <w:tcPr>
            <w:tcW w:type="dxa" w:w="2484"/>
          </w:tcPr>
          <w:p>
            <w:r>
              <w:rPr>
                <w:rFonts w:ascii="Arial" w:hAnsi="Arial"/>
                <w:sz w:val="18"/>
              </w:rPr>
              <w:t>40</w:t>
            </w:r>
          </w:p>
        </w:tc>
      </w:tr>
      <w:tr>
        <w:tc>
          <w:tcPr>
            <w:tcW w:type="dxa" w:w="2484"/>
          </w:tcPr>
          <w:p>
            <w:r>
              <w:rPr>
                <w:rFonts w:ascii="Arial" w:hAnsi="Arial"/>
                <w:sz w:val="18"/>
              </w:rPr>
              <w:t>2</w:t>
            </w:r>
          </w:p>
        </w:tc>
        <w:tc>
          <w:tcPr>
            <w:tcW w:type="dxa" w:w="2484"/>
          </w:tcPr>
          <w:p>
            <w:r>
              <w:rPr>
                <w:rFonts w:ascii="Arial" w:hAnsi="Arial"/>
                <w:sz w:val="18"/>
              </w:rPr>
              <w:t>34</w:t>
            </w:r>
          </w:p>
        </w:tc>
        <w:tc>
          <w:tcPr>
            <w:tcW w:type="dxa" w:w="2484"/>
          </w:tcPr>
          <w:p>
            <w:r>
              <w:rPr>
                <w:rFonts w:ascii="Arial" w:hAnsi="Arial"/>
                <w:sz w:val="18"/>
              </w:rPr>
              <w:t>23</w:t>
            </w:r>
          </w:p>
        </w:tc>
        <w:tc>
          <w:tcPr>
            <w:tcW w:type="dxa" w:w="2484"/>
          </w:tcPr>
          <w:p>
            <w:r>
              <w:rPr>
                <w:rFonts w:ascii="Arial" w:hAnsi="Arial"/>
                <w:sz w:val="18"/>
              </w:rPr>
              <w:t>57</w:t>
            </w:r>
          </w:p>
        </w:tc>
      </w:tr>
      <w:tr>
        <w:tc>
          <w:tcPr>
            <w:tcW w:type="dxa" w:w="2484"/>
          </w:tcPr>
          <w:p>
            <w:r>
              <w:rPr>
                <w:rFonts w:ascii="Arial" w:hAnsi="Arial"/>
                <w:sz w:val="18"/>
              </w:rPr>
              <w:t>3</w:t>
            </w:r>
          </w:p>
        </w:tc>
        <w:tc>
          <w:tcPr>
            <w:tcW w:type="dxa" w:w="2484"/>
          </w:tcPr>
          <w:p>
            <w:r>
              <w:rPr>
                <w:rFonts w:ascii="Arial" w:hAnsi="Arial"/>
                <w:sz w:val="18"/>
              </w:rPr>
              <w:t>19</w:t>
            </w:r>
          </w:p>
        </w:tc>
        <w:tc>
          <w:tcPr>
            <w:tcW w:type="dxa" w:w="2484"/>
          </w:tcPr>
          <w:p>
            <w:r>
              <w:rPr>
                <w:rFonts w:ascii="Arial" w:hAnsi="Arial"/>
                <w:sz w:val="18"/>
              </w:rPr>
              <w:t>19</w:t>
            </w:r>
          </w:p>
        </w:tc>
        <w:tc>
          <w:tcPr>
            <w:tcW w:type="dxa" w:w="2484"/>
          </w:tcPr>
          <w:p>
            <w:r>
              <w:rPr>
                <w:rFonts w:ascii="Arial" w:hAnsi="Arial"/>
                <w:sz w:val="18"/>
              </w:rPr>
              <w:t>38</w:t>
            </w:r>
          </w:p>
        </w:tc>
      </w:tr>
    </w:tbl>
    <w:p>
      <w:r>
        <w:t>Overall, the dataset contains 112 female and 88 male customers. Female representation is 56%. Since Genre was excluded from the clustering features, these proportions describe cluster composition rather than a causal effect of gender on spending.</w:t>
      </w:r>
    </w:p>
    <w:p>
      <w:pPr>
        <w:pStyle w:val="Heading1"/>
      </w:pPr>
      <w:r>
        <w:t>17. Hierarchical Clustering</w:t>
      </w:r>
    </w:p>
    <w:p>
      <w:pPr>
        <w:ind w:left="360"/>
      </w:pPr>
      <w:r>
        <w:rPr>
          <w:rFonts w:ascii="Consolas" w:hAnsi="Consolas"/>
          <w:sz w:val="17"/>
        </w:rPr>
        <w:t>from sklearn.cluster import AgglomerativeClustering</w:t>
        <w:br/>
        <w:t>from sklearn.metrics import silhouette_score</w:t>
        <w:br/>
        <w:br/>
        <w:t>hierarchical = AgglomerativeClustering(</w:t>
        <w:br/>
        <w:t xml:space="preserve">    n_clusters=4,</w:t>
        <w:br/>
        <w:t xml:space="preserve">    linkage="ward"</w:t>
        <w:br/>
        <w:t>)</w:t>
        <w:br/>
        <w:br/>
        <w:t>hierarchical_labels = hierarchical.fit_predict(X_scaled)</w:t>
        <w:br/>
        <w:br/>
        <w:t>hierarchical_score = silhouette_score(</w:t>
        <w:br/>
        <w:t xml:space="preserve">    X_scaled,</w:t>
        <w:br/>
        <w:t xml:space="preserve">    hierarchical_labels</w:t>
        <w:br/>
        <w:t>)</w:t>
        <w:br/>
        <w:br/>
        <w:t>print("Hierarchical Silhouette Score:",</w:t>
        <w:br/>
        <w:t xml:space="preserve">      hierarchical_score)</w:t>
      </w:r>
    </w:p>
    <w:p>
      <w:r>
        <w:t>Agglomerative Hierarchical Clustering with four clusters produced a silhouette score of approximately 0.3615.</w:t>
      </w:r>
    </w:p>
    <w:p>
      <w:pPr>
        <w:pStyle w:val="Heading1"/>
      </w:pPr>
      <w:r>
        <w:t>18. K-Means vs Hierarchical Clustering</w:t>
      </w:r>
    </w:p>
    <w:tbl>
      <w:tblPr>
        <w:tblW w:type="auto" w:w="0"/>
        <w:jc w:val="center"/>
        <w:tblLook w:firstColumn="1" w:firstRow="1" w:lastColumn="0" w:lastRow="0" w:noHBand="0" w:noVBand="1" w:val="04A0"/>
      </w:tblPr>
      <w:tblGrid>
        <w:gridCol w:w="3312"/>
        <w:gridCol w:w="3312"/>
        <w:gridCol w:w="3312"/>
      </w:tblGrid>
      <w:tr>
        <w:tc>
          <w:tcPr>
            <w:tcW w:type="dxa" w:w="3312"/>
          </w:tcPr>
          <w:p>
            <w:r>
              <w:rPr>
                <w:rFonts w:ascii="Arial" w:hAnsi="Arial"/>
                <w:sz w:val="18"/>
              </w:rPr>
              <w:t>Method</w:t>
            </w:r>
          </w:p>
        </w:tc>
        <w:tc>
          <w:tcPr>
            <w:tcW w:type="dxa" w:w="3312"/>
          </w:tcPr>
          <w:p>
            <w:r>
              <w:rPr>
                <w:rFonts w:ascii="Arial" w:hAnsi="Arial"/>
                <w:sz w:val="18"/>
              </w:rPr>
              <w:t>Clusters</w:t>
            </w:r>
          </w:p>
        </w:tc>
        <w:tc>
          <w:tcPr>
            <w:tcW w:type="dxa" w:w="3312"/>
          </w:tcPr>
          <w:p>
            <w:r>
              <w:rPr>
                <w:rFonts w:ascii="Arial" w:hAnsi="Arial"/>
                <w:sz w:val="18"/>
              </w:rPr>
              <w:t>Silhouette Score</w:t>
            </w:r>
          </w:p>
        </w:tc>
      </w:tr>
      <w:tr>
        <w:tc>
          <w:tcPr>
            <w:tcW w:type="dxa" w:w="3312"/>
          </w:tcPr>
          <w:p>
            <w:r>
              <w:rPr>
                <w:rFonts w:ascii="Arial" w:hAnsi="Arial"/>
                <w:sz w:val="18"/>
              </w:rPr>
              <w:t>K-Means</w:t>
            </w:r>
          </w:p>
        </w:tc>
        <w:tc>
          <w:tcPr>
            <w:tcW w:type="dxa" w:w="3312"/>
          </w:tcPr>
          <w:p>
            <w:r>
              <w:rPr>
                <w:rFonts w:ascii="Arial" w:hAnsi="Arial"/>
                <w:sz w:val="18"/>
              </w:rPr>
              <w:t>4</w:t>
            </w:r>
          </w:p>
        </w:tc>
        <w:tc>
          <w:tcPr>
            <w:tcW w:type="dxa" w:w="3312"/>
          </w:tcPr>
          <w:p>
            <w:r>
              <w:rPr>
                <w:rFonts w:ascii="Arial" w:hAnsi="Arial"/>
                <w:sz w:val="18"/>
              </w:rPr>
              <w:t>0.4040</w:t>
            </w:r>
          </w:p>
        </w:tc>
      </w:tr>
      <w:tr>
        <w:tc>
          <w:tcPr>
            <w:tcW w:type="dxa" w:w="3312"/>
          </w:tcPr>
          <w:p>
            <w:r>
              <w:rPr>
                <w:rFonts w:ascii="Arial" w:hAnsi="Arial"/>
                <w:sz w:val="18"/>
              </w:rPr>
              <w:t>Agglomerative Hierarchical</w:t>
            </w:r>
          </w:p>
        </w:tc>
        <w:tc>
          <w:tcPr>
            <w:tcW w:type="dxa" w:w="3312"/>
          </w:tcPr>
          <w:p>
            <w:r>
              <w:rPr>
                <w:rFonts w:ascii="Arial" w:hAnsi="Arial"/>
                <w:sz w:val="18"/>
              </w:rPr>
              <w:t>4</w:t>
            </w:r>
          </w:p>
        </w:tc>
        <w:tc>
          <w:tcPr>
            <w:tcW w:type="dxa" w:w="3312"/>
          </w:tcPr>
          <w:p>
            <w:r>
              <w:rPr>
                <w:rFonts w:ascii="Arial" w:hAnsi="Arial"/>
                <w:sz w:val="18"/>
              </w:rPr>
              <w:t>0.3615</w:t>
            </w:r>
          </w:p>
        </w:tc>
      </w:tr>
    </w:tbl>
    <w:p>
      <w:r>
        <w:t>K-Means achieved the higher silhouette score and provides a straightforward, interpretable partition of the customers. Therefore, K-Means was selected as the final clustering approach.</w:t>
      </w:r>
    </w:p>
    <w:p>
      <w:pPr>
        <w:pStyle w:val="Heading1"/>
      </w:pPr>
      <w:r>
        <w:t>19. Business Applications</w:t>
      </w:r>
    </w:p>
    <w:p>
      <w:pPr>
        <w:pStyle w:val="ListBullet"/>
      </w:pPr>
      <w:r>
        <w:t>Targeted marketing campaigns for each customer segment.</w:t>
      </w:r>
    </w:p>
    <w:p>
      <w:pPr>
        <w:pStyle w:val="ListBullet"/>
      </w:pPr>
      <w:r>
        <w:t>Premium offers and loyalty rewards for high-value customers.</w:t>
      </w:r>
    </w:p>
    <w:p>
      <w:pPr>
        <w:pStyle w:val="ListBullet"/>
      </w:pPr>
      <w:r>
        <w:t>Affordable and youth-focused promotions for young potential customers.</w:t>
      </w:r>
    </w:p>
    <w:p>
      <w:pPr>
        <w:pStyle w:val="ListBullet"/>
      </w:pPr>
      <w:r>
        <w:t>Re-engagement strategies for high-income but low-spending customers.</w:t>
      </w:r>
    </w:p>
    <w:p>
      <w:pPr>
        <w:pStyle w:val="ListBullet"/>
      </w:pPr>
      <w:r>
        <w:t>Personalized product recommendations and customer retention programs.</w:t>
      </w:r>
    </w:p>
    <w:p>
      <w:pPr>
        <w:pStyle w:val="ListBullet"/>
      </w:pPr>
      <w:r>
        <w:t>Better allocation of marketing resources based on customer behaviour.</w:t>
      </w:r>
    </w:p>
    <w:p>
      <w:pPr>
        <w:pStyle w:val="Heading1"/>
      </w:pPr>
      <w:r>
        <w:t>20. Limitations</w:t>
      </w:r>
    </w:p>
    <w:p>
      <w:pPr>
        <w:pStyle w:val="ListBullet"/>
      </w:pPr>
      <w:r>
        <w:t>The dataset contains only 200 customers and may not represent all customer populations.</w:t>
      </w:r>
    </w:p>
    <w:p>
      <w:pPr>
        <w:pStyle w:val="ListBullet"/>
      </w:pPr>
      <w:r>
        <w:t>Only three numerical features were used for clustering.</w:t>
      </w:r>
    </w:p>
    <w:p>
      <w:pPr>
        <w:pStyle w:val="ListBullet"/>
      </w:pPr>
      <w:r>
        <w:t>K-Means assumes distance-based, relatively compact clusters.</w:t>
      </w:r>
    </w:p>
    <w:p>
      <w:pPr>
        <w:pStyle w:val="ListBullet"/>
      </w:pPr>
      <w:r>
        <w:t>Cluster labels are descriptive and do not imply causation.</w:t>
      </w:r>
    </w:p>
    <w:p>
      <w:pPr>
        <w:pStyle w:val="ListBullet"/>
      </w:pPr>
      <w:r>
        <w:t>Genre was used only for post-clustering profiling, not for cluster formation.</w:t>
      </w:r>
    </w:p>
    <w:p>
      <w:pPr>
        <w:pStyle w:val="Heading1"/>
      </w:pPr>
      <w:r>
        <w:t>21. Future Scope</w:t>
      </w:r>
    </w:p>
    <w:p>
      <w:pPr>
        <w:pStyle w:val="ListBullet"/>
      </w:pPr>
      <w:r>
        <w:t>Include purchase frequency, transaction value, product category, and recency if available.</w:t>
      </w:r>
    </w:p>
    <w:p>
      <w:pPr>
        <w:pStyle w:val="ListBullet"/>
      </w:pPr>
      <w:r>
        <w:t>Compare additional clustering algorithms such as DBSCAN and Gaussian Mixture Models.</w:t>
      </w:r>
    </w:p>
    <w:p>
      <w:pPr>
        <w:pStyle w:val="ListBullet"/>
      </w:pPr>
      <w:r>
        <w:t>Use dimensionality reduction such as PCA for visualization and analysis.</w:t>
      </w:r>
    </w:p>
    <w:p>
      <w:pPr>
        <w:pStyle w:val="ListBullet"/>
      </w:pPr>
      <w:r>
        <w:t>Build a dashboard for interactive customer-segment exploration.</w:t>
      </w:r>
    </w:p>
    <w:p>
      <w:pPr>
        <w:pStyle w:val="ListBullet"/>
      </w:pPr>
      <w:r>
        <w:t>Evaluate cluster stability across different samples and random seeds.</w:t>
      </w:r>
    </w:p>
    <w:p>
      <w:pPr>
        <w:pStyle w:val="Heading1"/>
      </w:pPr>
      <w:r>
        <w:t>22. Conclusion</w:t>
      </w:r>
    </w:p>
    <w:p>
      <w:r>
        <w:t>The project successfully demonstrates customer segmentation using unsupervised learning. After removing the identifier and excluding the categorical Genre variable from clustering, Age, Annual Income, and Spending Score were standardized and used for K-Means clustering. The Elbow Method supported K=4 as a practical choice, while the final K-Means model achieved a silhouette score of approximately 0.4040. Four interpretable segments were identified, including high-value customers and high-income low-spending customers. Hierarchical clustering produced a lower silhouette score of approximately 0.3615, supporting the selection of K-Means for the final solution.</w:t>
      </w:r>
    </w:p>
    <w:p>
      <w:pPr>
        <w:pStyle w:val="Heading1"/>
      </w:pPr>
      <w:r>
        <w:t>23. Appendix – Complete Core Code</w:t>
      </w:r>
    </w:p>
    <w:p>
      <w:pPr>
        <w:ind w:left="360"/>
      </w:pPr>
      <w:r>
        <w:rPr>
          <w:rFonts w:ascii="Consolas" w:hAnsi="Consolas"/>
          <w:sz w:val="17"/>
        </w:rPr>
        <w:t>import pandas as pd</w:t>
        <w:br/>
        <w:t>import numpy as np</w:t>
        <w:br/>
        <w:t>import matplotlib.pyplot as plt</w:t>
        <w:br/>
        <w:t>import seaborn as sns</w:t>
        <w:br/>
        <w:br/>
        <w:t>df = pd.read_csv("Mall_Customers.csv")</w:t>
        <w:br/>
        <w:br/>
        <w:t># Remove identifier</w:t>
        <w:br/>
        <w:t>df = df.drop("CustomerID", axis=1)</w:t>
        <w:br/>
        <w:br/>
        <w:t># Select numerical clustering features</w:t>
        <w:br/>
        <w:t>X = df[[</w:t>
        <w:br/>
        <w:t xml:space="preserve">    "Age",</w:t>
        <w:br/>
        <w:t xml:space="preserve">    "Annual Income (k$)",</w:t>
        <w:br/>
        <w:t xml:space="preserve">    "Spending Score (1-100)"</w:t>
        <w:br/>
        <w:t>]]</w:t>
        <w:br/>
        <w:br/>
        <w:t># Standardize features</w:t>
        <w:br/>
        <w:t>from sklearn.preprocessing import StandardScaler</w:t>
        <w:br/>
        <w:t>scaler = StandardScaler()</w:t>
        <w:br/>
        <w:t>X_scaled = scaler.fit_transform(X)</w:t>
        <w:br/>
        <w:br/>
        <w:t># Elbow Method</w:t>
        <w:br/>
        <w:t>from sklearn.cluster import KMeans</w:t>
        <w:br/>
        <w:t>inertia = []</w:t>
        <w:br/>
        <w:t>K_values = range(1, 11)</w:t>
        <w:br/>
        <w:br/>
        <w:t>for k in K_values:</w:t>
        <w:br/>
        <w:t xml:space="preserve">    model = KMeans(n_clusters=k, random_state=42, n_init=10)</w:t>
        <w:br/>
        <w:t xml:space="preserve">    model.fit(X_scaled)</w:t>
        <w:br/>
        <w:t xml:space="preserve">    inertia.append(model.inertia_)</w:t>
        <w:br/>
        <w:br/>
        <w:t>plt.plot(K_values, inertia, marker="o")</w:t>
        <w:br/>
        <w:t>plt.xlabel("Number of Clusters (K)")</w:t>
        <w:br/>
        <w:t>plt.ylabel("WCSS / Inertia")</w:t>
        <w:br/>
        <w:t>plt.title("Elbow Method")</w:t>
        <w:br/>
        <w:t>plt.show()</w:t>
        <w:br/>
        <w:br/>
        <w:t># Final K-Means model: K = 4</w:t>
        <w:br/>
        <w:t>kmeans = KMeans(</w:t>
        <w:br/>
        <w:t xml:space="preserve">    n_clusters=4,</w:t>
        <w:br/>
        <w:t xml:space="preserve">    random_state=42,</w:t>
        <w:br/>
        <w:t xml:space="preserve">    n_init=10</w:t>
        <w:br/>
        <w:t>)</w:t>
        <w:br/>
        <w:br/>
        <w:t>labels = kmeans.fit_predict(X_scaled)</w:t>
        <w:br/>
        <w:t>df["Cluster"] = labels</w:t>
        <w:br/>
        <w:br/>
        <w:t># Evaluation</w:t>
        <w:br/>
        <w:t>from sklearn.metrics import silhouette_score</w:t>
        <w:br/>
        <w:t>sil_score = silhouette_score(X_scaled, labels)</w:t>
        <w:br/>
        <w:t>print("Silhouette Score:", sil_score)</w:t>
        <w:br/>
        <w:br/>
        <w:t># Cluster profiles</w:t>
        <w:br/>
        <w:t>print(df.groupby("Cluster")[[</w:t>
        <w:br/>
        <w:t xml:space="preserve">    "Age",</w:t>
        <w:br/>
        <w:t xml:space="preserve">    "Annual Income (k$)",</w:t>
        <w:br/>
        <w:t xml:space="preserve">    "Spending Score (1-100)"</w:t>
        <w:br/>
        <w:t>]].mean())</w:t>
        <w:br/>
        <w:br/>
        <w:t># Centroids in original scale</w:t>
        <w:br/>
        <w:t>centroids = kmeans.cluster_centers_</w:t>
        <w:br/>
        <w:t>centroids_original = scaler.inverse_transform(centroids)</w:t>
        <w:br/>
        <w:br/>
        <w:t>centroid_df = pd.DataFrame(</w:t>
        <w:br/>
        <w:t xml:space="preserve">    centroids_original,</w:t>
        <w:br/>
        <w:t xml:space="preserve">    columns=[</w:t>
        <w:br/>
        <w:t xml:space="preserve">        "Age",</w:t>
        <w:br/>
        <w:t xml:space="preserve">        "Annual Income (k$)",</w:t>
        <w:br/>
        <w:t xml:space="preserve">        "Spending Score (1-100)"</w:t>
        <w:br/>
        <w:t xml:space="preserve">    ]</w:t>
        <w:br/>
        <w:t>).round(2)</w:t>
        <w:br/>
        <w:br/>
        <w:t>print(centroid_df)</w:t>
        <w:br/>
        <w:br/>
        <w:t># Hierarchical clustering</w:t>
        <w:br/>
        <w:t>from sklearn.cluster import AgglomerativeClustering</w:t>
        <w:br/>
        <w:br/>
        <w:t>hierarchical = AgglomerativeClustering(</w:t>
        <w:br/>
        <w:t xml:space="preserve">    n_clusters=4,</w:t>
        <w:br/>
        <w:t xml:space="preserve">    linkage="ward"</w:t>
        <w:br/>
        <w:t>)</w:t>
        <w:br/>
        <w:br/>
        <w:t>hierarchical_labels = hierarchical.fit_predict(X_scaled)</w:t>
        <w:br/>
        <w:br/>
        <w:t>hierarchical_score = silhouette_score(</w:t>
        <w:br/>
        <w:t xml:space="preserve">    X_scaled,</w:t>
        <w:br/>
        <w:t xml:space="preserve">    hierarchical_labels</w:t>
        <w:br/>
        <w:t>)</w:t>
        <w:br/>
        <w:br/>
        <w:t>print("Hierarchical Silhouette Score:",</w:t>
        <w:br/>
        <w:t xml:space="preserve">      hierarchical_score)</w:t>
      </w:r>
    </w:p>
    <w:p>
      <w:pPr>
        <w:pStyle w:val="Heading1"/>
      </w:pPr>
      <w:r>
        <w:t>24. References</w:t>
      </w:r>
    </w:p>
    <w:p>
      <w:r>
        <w:t>1. Scikit-learn documentation – KMeans, StandardScaler, silhouette_score, and AgglomerativeClustering.</w:t>
        <w:br/>
        <w:t>2. Mall Customers dataset – publicly available customer segmentation dataset.</w:t>
        <w:br/>
        <w:t>3. Python, Pandas, NumPy, Matplotlib, Seaborn, and SciPy documentation.</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