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9E1EF" w14:textId="77777777" w:rsidR="00D86D3F" w:rsidRPr="00D86D3F" w:rsidRDefault="00D86D3F" w:rsidP="00D86D3F">
      <w:pPr>
        <w:jc w:val="center"/>
        <w:rPr>
          <w:b/>
          <w:bCs/>
          <w:sz w:val="22"/>
          <w:szCs w:val="22"/>
        </w:rPr>
      </w:pPr>
      <w:r w:rsidRPr="00D86D3F">
        <w:rPr>
          <w:b/>
          <w:bCs/>
          <w:sz w:val="22"/>
          <w:szCs w:val="22"/>
        </w:rPr>
        <w:t>A</w:t>
      </w:r>
      <w:r w:rsidRPr="00D86D3F">
        <w:rPr>
          <w:b/>
          <w:bCs/>
          <w:sz w:val="22"/>
          <w:szCs w:val="22"/>
        </w:rPr>
        <w:t>mazon Diwali Sales Project 2025 – Consolidated Insights</w:t>
      </w:r>
    </w:p>
    <w:p w14:paraId="4E1E2470" w14:textId="1FD4771A" w:rsidR="00D86D3F" w:rsidRPr="00D86D3F" w:rsidRDefault="00D86D3F" w:rsidP="00D86D3F">
      <w:pPr>
        <w:rPr>
          <w:b/>
          <w:bCs/>
          <w:sz w:val="18"/>
          <w:szCs w:val="18"/>
        </w:rPr>
      </w:pPr>
      <w:r w:rsidRPr="00D86D3F">
        <w:rPr>
          <w:b/>
          <w:bCs/>
          <w:sz w:val="18"/>
          <w:szCs w:val="18"/>
        </w:rPr>
        <w:t>1. Return Rates</w:t>
      </w:r>
    </w:p>
    <w:p w14:paraId="7568C7AF" w14:textId="77777777" w:rsidR="00D86D3F" w:rsidRPr="00D86D3F" w:rsidRDefault="00D86D3F" w:rsidP="00D86D3F">
      <w:pPr>
        <w:numPr>
          <w:ilvl w:val="0"/>
          <w:numId w:val="7"/>
        </w:numPr>
        <w:rPr>
          <w:sz w:val="18"/>
          <w:szCs w:val="18"/>
        </w:rPr>
      </w:pPr>
      <w:r w:rsidRPr="00D86D3F">
        <w:rPr>
          <w:sz w:val="18"/>
          <w:szCs w:val="18"/>
        </w:rPr>
        <w:t>Return rates are tightly clustered across all categories (31.27% to 33.90%).</w:t>
      </w:r>
    </w:p>
    <w:p w14:paraId="4FC16D19" w14:textId="77777777" w:rsidR="00D86D3F" w:rsidRPr="00D86D3F" w:rsidRDefault="00D86D3F" w:rsidP="00D86D3F">
      <w:pPr>
        <w:numPr>
          <w:ilvl w:val="0"/>
          <w:numId w:val="7"/>
        </w:numPr>
        <w:rPr>
          <w:sz w:val="18"/>
          <w:szCs w:val="18"/>
        </w:rPr>
      </w:pPr>
      <w:r w:rsidRPr="00D86D3F">
        <w:rPr>
          <w:sz w:val="18"/>
          <w:szCs w:val="18"/>
        </w:rPr>
        <w:t xml:space="preserve">Books </w:t>
      </w:r>
      <w:proofErr w:type="gramStart"/>
      <w:r w:rsidRPr="00D86D3F">
        <w:rPr>
          <w:sz w:val="18"/>
          <w:szCs w:val="18"/>
        </w:rPr>
        <w:t>has</w:t>
      </w:r>
      <w:proofErr w:type="gramEnd"/>
      <w:r w:rsidRPr="00D86D3F">
        <w:rPr>
          <w:sz w:val="18"/>
          <w:szCs w:val="18"/>
        </w:rPr>
        <w:t xml:space="preserve"> the highest return rate (33.90%), while Home &amp; Kitchen has the lowest (31.27%).</w:t>
      </w:r>
    </w:p>
    <w:p w14:paraId="4A8340E8" w14:textId="77777777" w:rsidR="00D86D3F" w:rsidRPr="00D86D3F" w:rsidRDefault="00D86D3F" w:rsidP="00D86D3F">
      <w:pPr>
        <w:numPr>
          <w:ilvl w:val="0"/>
          <w:numId w:val="7"/>
        </w:numPr>
        <w:rPr>
          <w:sz w:val="18"/>
          <w:szCs w:val="18"/>
        </w:rPr>
      </w:pPr>
      <w:r w:rsidRPr="00D86D3F">
        <w:rPr>
          <w:sz w:val="18"/>
          <w:szCs w:val="18"/>
        </w:rPr>
        <w:t>The narrow spread suggests returns are consistent across product types — no single category is a return-rate outlier.</w:t>
      </w:r>
    </w:p>
    <w:p w14:paraId="285DE28B" w14:textId="77777777" w:rsidR="00D86D3F" w:rsidRPr="00D86D3F" w:rsidRDefault="00D86D3F" w:rsidP="00D86D3F">
      <w:pPr>
        <w:numPr>
          <w:ilvl w:val="0"/>
          <w:numId w:val="7"/>
        </w:numPr>
        <w:rPr>
          <w:sz w:val="18"/>
          <w:szCs w:val="18"/>
        </w:rPr>
      </w:pPr>
      <w:r w:rsidRPr="00D86D3F">
        <w:rPr>
          <w:sz w:val="18"/>
          <w:szCs w:val="18"/>
        </w:rPr>
        <w:t>Overall return rate ≈ 32.5%.</w:t>
      </w:r>
    </w:p>
    <w:p w14:paraId="34C8B54E" w14:textId="77777777" w:rsidR="00D86D3F" w:rsidRPr="00D86D3F" w:rsidRDefault="00D86D3F" w:rsidP="00D86D3F">
      <w:pPr>
        <w:rPr>
          <w:sz w:val="18"/>
          <w:szCs w:val="18"/>
        </w:rPr>
      </w:pPr>
      <w:r w:rsidRPr="00D86D3F">
        <w:rPr>
          <w:b/>
          <w:bCs/>
          <w:sz w:val="18"/>
          <w:szCs w:val="18"/>
        </w:rPr>
        <w:t>2. Geographic Revenue Distribution (States)</w:t>
      </w:r>
    </w:p>
    <w:p w14:paraId="12E03DC4" w14:textId="77777777" w:rsidR="00D86D3F" w:rsidRPr="00D86D3F" w:rsidRDefault="00D86D3F" w:rsidP="00D86D3F">
      <w:pPr>
        <w:numPr>
          <w:ilvl w:val="0"/>
          <w:numId w:val="8"/>
        </w:numPr>
        <w:rPr>
          <w:sz w:val="18"/>
          <w:szCs w:val="18"/>
        </w:rPr>
      </w:pPr>
      <w:r w:rsidRPr="00D86D3F">
        <w:rPr>
          <w:sz w:val="18"/>
          <w:szCs w:val="18"/>
        </w:rPr>
        <w:t>Top 5 states contribute ~19% of revenue.</w:t>
      </w:r>
    </w:p>
    <w:p w14:paraId="3FAE462B" w14:textId="77777777" w:rsidR="00D86D3F" w:rsidRPr="00D86D3F" w:rsidRDefault="00D86D3F" w:rsidP="00D86D3F">
      <w:pPr>
        <w:numPr>
          <w:ilvl w:val="0"/>
          <w:numId w:val="8"/>
        </w:numPr>
        <w:rPr>
          <w:sz w:val="18"/>
          <w:szCs w:val="18"/>
        </w:rPr>
      </w:pPr>
      <w:r w:rsidRPr="00D86D3F">
        <w:rPr>
          <w:sz w:val="18"/>
          <w:szCs w:val="18"/>
        </w:rPr>
        <w:t>Revenue is evenly spread across all 28 states.</w:t>
      </w:r>
    </w:p>
    <w:p w14:paraId="1BC6C1C8" w14:textId="77777777" w:rsidR="00D86D3F" w:rsidRPr="00D86D3F" w:rsidRDefault="00D86D3F" w:rsidP="00D86D3F">
      <w:pPr>
        <w:numPr>
          <w:ilvl w:val="0"/>
          <w:numId w:val="8"/>
        </w:numPr>
        <w:rPr>
          <w:sz w:val="18"/>
          <w:szCs w:val="18"/>
        </w:rPr>
      </w:pPr>
      <w:r w:rsidRPr="00D86D3F">
        <w:rPr>
          <w:sz w:val="18"/>
          <w:szCs w:val="18"/>
        </w:rPr>
        <w:t>No single state dominates → healthy geographic diversification.</w:t>
      </w:r>
    </w:p>
    <w:p w14:paraId="3304C72F" w14:textId="77777777" w:rsidR="00D86D3F" w:rsidRPr="00D86D3F" w:rsidRDefault="00D86D3F" w:rsidP="00D86D3F">
      <w:pPr>
        <w:rPr>
          <w:sz w:val="18"/>
          <w:szCs w:val="18"/>
        </w:rPr>
      </w:pPr>
      <w:r w:rsidRPr="00D86D3F">
        <w:rPr>
          <w:b/>
          <w:bCs/>
          <w:sz w:val="18"/>
          <w:szCs w:val="18"/>
        </w:rPr>
        <w:t>3. Product-Level Revenue Concentration</w:t>
      </w:r>
    </w:p>
    <w:p w14:paraId="595A3262" w14:textId="77777777" w:rsidR="00D86D3F" w:rsidRPr="00D86D3F" w:rsidRDefault="00D86D3F" w:rsidP="00D86D3F">
      <w:pPr>
        <w:numPr>
          <w:ilvl w:val="0"/>
          <w:numId w:val="9"/>
        </w:numPr>
        <w:rPr>
          <w:sz w:val="18"/>
          <w:szCs w:val="18"/>
        </w:rPr>
      </w:pPr>
      <w:r w:rsidRPr="00D86D3F">
        <w:rPr>
          <w:sz w:val="18"/>
          <w:szCs w:val="18"/>
        </w:rPr>
        <w:t>Top 10 products contribute approximately 41% of total revenue.</w:t>
      </w:r>
    </w:p>
    <w:p w14:paraId="744BD169" w14:textId="77777777" w:rsidR="00D86D3F" w:rsidRPr="00D86D3F" w:rsidRDefault="00D86D3F" w:rsidP="00D86D3F">
      <w:pPr>
        <w:numPr>
          <w:ilvl w:val="0"/>
          <w:numId w:val="9"/>
        </w:numPr>
        <w:rPr>
          <w:sz w:val="18"/>
          <w:szCs w:val="18"/>
        </w:rPr>
      </w:pPr>
      <w:r w:rsidRPr="00D86D3F">
        <w:rPr>
          <w:sz w:val="18"/>
          <w:szCs w:val="18"/>
        </w:rPr>
        <w:t>Revenue is spread across beauty, books, electronics, and home categories, indicating a diversified product portfolio.</w:t>
      </w:r>
    </w:p>
    <w:p w14:paraId="1BAD93FF" w14:textId="77777777" w:rsidR="00D86D3F" w:rsidRPr="00D86D3F" w:rsidRDefault="00D86D3F" w:rsidP="00D86D3F">
      <w:pPr>
        <w:numPr>
          <w:ilvl w:val="0"/>
          <w:numId w:val="9"/>
        </w:numPr>
        <w:rPr>
          <w:sz w:val="18"/>
          <w:szCs w:val="18"/>
        </w:rPr>
      </w:pPr>
      <w:r w:rsidRPr="00D86D3F">
        <w:rPr>
          <w:sz w:val="18"/>
          <w:szCs w:val="18"/>
        </w:rPr>
        <w:t>No single product dominates — the top product (Lipstick) contributes only ~4.3% of total revenue.</w:t>
      </w:r>
    </w:p>
    <w:p w14:paraId="6D135202" w14:textId="77777777" w:rsidR="00D86D3F" w:rsidRPr="00D86D3F" w:rsidRDefault="00D86D3F" w:rsidP="00D86D3F">
      <w:pPr>
        <w:rPr>
          <w:sz w:val="18"/>
          <w:szCs w:val="18"/>
        </w:rPr>
      </w:pPr>
      <w:r w:rsidRPr="00D86D3F">
        <w:rPr>
          <w:b/>
          <w:bCs/>
          <w:sz w:val="18"/>
          <w:szCs w:val="18"/>
        </w:rPr>
        <w:t>4. Monthly Revenue Trends (2025)</w:t>
      </w:r>
    </w:p>
    <w:p w14:paraId="193E15A8" w14:textId="77777777" w:rsidR="00D86D3F" w:rsidRPr="00D86D3F" w:rsidRDefault="00D86D3F" w:rsidP="00D86D3F">
      <w:pPr>
        <w:numPr>
          <w:ilvl w:val="0"/>
          <w:numId w:val="10"/>
        </w:numPr>
        <w:rPr>
          <w:sz w:val="18"/>
          <w:szCs w:val="18"/>
        </w:rPr>
      </w:pPr>
      <w:r w:rsidRPr="00D86D3F">
        <w:rPr>
          <w:sz w:val="18"/>
          <w:szCs w:val="18"/>
        </w:rPr>
        <w:t>Monthly revenue stayed within a tight band (₹85.0M – ₹97.6M) throughout 2025, with no dramatic seasonal spikes.</w:t>
      </w:r>
    </w:p>
    <w:p w14:paraId="7DD19C7A" w14:textId="77777777" w:rsidR="00D86D3F" w:rsidRPr="00D86D3F" w:rsidRDefault="00D86D3F" w:rsidP="00D86D3F">
      <w:pPr>
        <w:numPr>
          <w:ilvl w:val="0"/>
          <w:numId w:val="10"/>
        </w:numPr>
        <w:rPr>
          <w:sz w:val="18"/>
          <w:szCs w:val="18"/>
        </w:rPr>
      </w:pPr>
      <w:r w:rsidRPr="00D86D3F">
        <w:rPr>
          <w:sz w:val="18"/>
          <w:szCs w:val="18"/>
        </w:rPr>
        <w:t>February was the weakest month (–7.67% MoM), while March (+9.49%), May (+6.35%), and July (+6.07%) showed the strongest month-over-month growth.</w:t>
      </w:r>
    </w:p>
    <w:p w14:paraId="6D6CFB57" w14:textId="77777777" w:rsidR="00D86D3F" w:rsidRPr="00D86D3F" w:rsidRDefault="00D86D3F" w:rsidP="00D86D3F">
      <w:pPr>
        <w:numPr>
          <w:ilvl w:val="0"/>
          <w:numId w:val="10"/>
        </w:numPr>
        <w:rPr>
          <w:sz w:val="18"/>
          <w:szCs w:val="18"/>
        </w:rPr>
      </w:pPr>
      <w:r w:rsidRPr="00D86D3F">
        <w:rPr>
          <w:sz w:val="18"/>
          <w:szCs w:val="18"/>
        </w:rPr>
        <w:t>This suggests consistent year-round demand for the platform.</w:t>
      </w:r>
    </w:p>
    <w:p w14:paraId="08F31EBD" w14:textId="77777777" w:rsidR="00D86D3F" w:rsidRPr="00D86D3F" w:rsidRDefault="00D86D3F" w:rsidP="00D86D3F">
      <w:pPr>
        <w:rPr>
          <w:sz w:val="18"/>
          <w:szCs w:val="18"/>
        </w:rPr>
      </w:pPr>
      <w:r w:rsidRPr="00D86D3F">
        <w:rPr>
          <w:b/>
          <w:bCs/>
          <w:sz w:val="18"/>
          <w:szCs w:val="18"/>
        </w:rPr>
        <w:t>5. Category Contribution</w:t>
      </w:r>
    </w:p>
    <w:p w14:paraId="71EEDBF3" w14:textId="77777777" w:rsidR="00D86D3F" w:rsidRPr="00D86D3F" w:rsidRDefault="00D86D3F" w:rsidP="00D86D3F">
      <w:pPr>
        <w:numPr>
          <w:ilvl w:val="0"/>
          <w:numId w:val="11"/>
        </w:numPr>
        <w:rPr>
          <w:sz w:val="18"/>
          <w:szCs w:val="18"/>
        </w:rPr>
      </w:pPr>
      <w:r w:rsidRPr="00D86D3F">
        <w:rPr>
          <w:sz w:val="18"/>
          <w:szCs w:val="18"/>
        </w:rPr>
        <w:t>All five categories contribute almost equally (19.4% – 20.3%).</w:t>
      </w:r>
    </w:p>
    <w:p w14:paraId="7378E851" w14:textId="77777777" w:rsidR="00D86D3F" w:rsidRPr="00D86D3F" w:rsidRDefault="00D86D3F" w:rsidP="00D86D3F">
      <w:pPr>
        <w:numPr>
          <w:ilvl w:val="0"/>
          <w:numId w:val="11"/>
        </w:numPr>
        <w:rPr>
          <w:sz w:val="18"/>
          <w:szCs w:val="18"/>
        </w:rPr>
      </w:pPr>
      <w:r w:rsidRPr="00D86D3F">
        <w:rPr>
          <w:sz w:val="18"/>
          <w:szCs w:val="18"/>
        </w:rPr>
        <w:t>Indicates a well-diversified product portfolio with no single category dominating.</w:t>
      </w:r>
    </w:p>
    <w:p w14:paraId="00757320" w14:textId="77777777" w:rsidR="00D86D3F" w:rsidRPr="00D86D3F" w:rsidRDefault="00D86D3F" w:rsidP="00D86D3F">
      <w:pPr>
        <w:numPr>
          <w:ilvl w:val="0"/>
          <w:numId w:val="11"/>
        </w:numPr>
        <w:rPr>
          <w:sz w:val="18"/>
          <w:szCs w:val="18"/>
        </w:rPr>
      </w:pPr>
      <w:r w:rsidRPr="00D86D3F">
        <w:rPr>
          <w:sz w:val="18"/>
          <w:szCs w:val="18"/>
        </w:rPr>
        <w:t>Beauty leads slightly at 20.34%, while Home &amp; Kitchen is the lowest at 19.38%.</w:t>
      </w:r>
    </w:p>
    <w:p w14:paraId="34CE444E" w14:textId="77777777" w:rsidR="00D86D3F" w:rsidRPr="00D86D3F" w:rsidRDefault="00D86D3F" w:rsidP="00D86D3F">
      <w:pPr>
        <w:rPr>
          <w:sz w:val="18"/>
          <w:szCs w:val="18"/>
        </w:rPr>
      </w:pPr>
      <w:r w:rsidRPr="00D86D3F">
        <w:rPr>
          <w:b/>
          <w:bCs/>
          <w:sz w:val="18"/>
          <w:szCs w:val="18"/>
        </w:rPr>
        <w:t>6. Customer Retention &amp; Repeat Purchases</w:t>
      </w:r>
    </w:p>
    <w:p w14:paraId="681F2838" w14:textId="77777777" w:rsidR="00D86D3F" w:rsidRPr="00D86D3F" w:rsidRDefault="00D86D3F" w:rsidP="00D86D3F">
      <w:pPr>
        <w:numPr>
          <w:ilvl w:val="0"/>
          <w:numId w:val="12"/>
        </w:numPr>
        <w:rPr>
          <w:sz w:val="18"/>
          <w:szCs w:val="18"/>
        </w:rPr>
      </w:pPr>
      <w:r w:rsidRPr="00D86D3F">
        <w:rPr>
          <w:sz w:val="18"/>
          <w:szCs w:val="18"/>
        </w:rPr>
        <w:t>Repeat customer rate is 62% — nearly two-thirds of all customers placed more than one order in 2025, indicating strong customer retention.</w:t>
      </w:r>
    </w:p>
    <w:p w14:paraId="0E56E76B" w14:textId="77777777" w:rsidR="00D86D3F" w:rsidRPr="00D86D3F" w:rsidRDefault="00D86D3F" w:rsidP="00D86D3F">
      <w:pPr>
        <w:numPr>
          <w:ilvl w:val="0"/>
          <w:numId w:val="12"/>
        </w:numPr>
        <w:rPr>
          <w:sz w:val="18"/>
          <w:szCs w:val="18"/>
        </w:rPr>
      </w:pPr>
      <w:r w:rsidRPr="00D86D3F">
        <w:rPr>
          <w:sz w:val="18"/>
          <w:szCs w:val="18"/>
        </w:rPr>
        <w:t>The distribution follows a healthy retention curve: 38% buy once, 33% buy twice, and 17% buy three times.</w:t>
      </w:r>
    </w:p>
    <w:p w14:paraId="36F8A16E" w14:textId="77777777" w:rsidR="00D86D3F" w:rsidRPr="00D86D3F" w:rsidRDefault="00D86D3F" w:rsidP="00D86D3F">
      <w:pPr>
        <w:numPr>
          <w:ilvl w:val="0"/>
          <w:numId w:val="12"/>
        </w:numPr>
        <w:rPr>
          <w:sz w:val="18"/>
          <w:szCs w:val="18"/>
        </w:rPr>
      </w:pPr>
      <w:r w:rsidRPr="00D86D3F">
        <w:rPr>
          <w:sz w:val="18"/>
          <w:szCs w:val="18"/>
        </w:rPr>
        <w:t>A long tail of 29% (customers who bought 4+ times) represents the most loyal segment and is likely responsible for a disproportionate share of revenue.</w:t>
      </w:r>
    </w:p>
    <w:p w14:paraId="7B55BD38" w14:textId="77777777" w:rsidR="00D86D3F" w:rsidRPr="00D86D3F" w:rsidRDefault="00D86D3F" w:rsidP="00D86D3F">
      <w:pPr>
        <w:rPr>
          <w:sz w:val="18"/>
          <w:szCs w:val="18"/>
        </w:rPr>
      </w:pPr>
      <w:r w:rsidRPr="00D86D3F">
        <w:rPr>
          <w:b/>
          <w:bCs/>
          <w:sz w:val="18"/>
          <w:szCs w:val="18"/>
        </w:rPr>
        <w:t>7. Payment Methods</w:t>
      </w:r>
    </w:p>
    <w:p w14:paraId="2348F964" w14:textId="77777777" w:rsidR="00D86D3F" w:rsidRPr="00D86D3F" w:rsidRDefault="00D86D3F" w:rsidP="00D86D3F">
      <w:pPr>
        <w:numPr>
          <w:ilvl w:val="0"/>
          <w:numId w:val="13"/>
        </w:numPr>
        <w:rPr>
          <w:sz w:val="18"/>
          <w:szCs w:val="18"/>
        </w:rPr>
      </w:pPr>
      <w:r w:rsidRPr="00D86D3F">
        <w:rPr>
          <w:sz w:val="18"/>
          <w:szCs w:val="18"/>
        </w:rPr>
        <w:t>Payment methods are almost perfectly evenly distributed.</w:t>
      </w:r>
    </w:p>
    <w:p w14:paraId="41944878" w14:textId="77777777" w:rsidR="00D86D3F" w:rsidRPr="00D86D3F" w:rsidRDefault="00D86D3F" w:rsidP="00D86D3F">
      <w:pPr>
        <w:numPr>
          <w:ilvl w:val="0"/>
          <w:numId w:val="13"/>
        </w:numPr>
        <w:rPr>
          <w:sz w:val="18"/>
          <w:szCs w:val="18"/>
        </w:rPr>
      </w:pPr>
      <w:r w:rsidRPr="00D86D3F">
        <w:rPr>
          <w:sz w:val="18"/>
          <w:szCs w:val="18"/>
        </w:rPr>
        <w:lastRenderedPageBreak/>
        <w:t>Cash on Delivery (25.51%), Credit Card (25.33%), Debit Card (24.85%), and UPI (24.31%) each account for roughly a quarter of all orders.</w:t>
      </w:r>
    </w:p>
    <w:p w14:paraId="70AD06F2" w14:textId="77777777" w:rsidR="00D86D3F" w:rsidRPr="00D86D3F" w:rsidRDefault="00D86D3F" w:rsidP="00D86D3F">
      <w:pPr>
        <w:numPr>
          <w:ilvl w:val="0"/>
          <w:numId w:val="13"/>
        </w:numPr>
        <w:rPr>
          <w:sz w:val="18"/>
          <w:szCs w:val="18"/>
        </w:rPr>
      </w:pPr>
      <w:r w:rsidRPr="00D86D3F">
        <w:rPr>
          <w:sz w:val="18"/>
          <w:szCs w:val="18"/>
        </w:rPr>
        <w:t>AOV is also nearly identical across all methods (~₹73K–₹75K).</w:t>
      </w:r>
    </w:p>
    <w:p w14:paraId="38F06C93" w14:textId="77777777" w:rsidR="00D86D3F" w:rsidRPr="00D86D3F" w:rsidRDefault="00D86D3F" w:rsidP="00D86D3F">
      <w:pPr>
        <w:rPr>
          <w:sz w:val="18"/>
          <w:szCs w:val="18"/>
        </w:rPr>
      </w:pPr>
      <w:r w:rsidRPr="00D86D3F">
        <w:rPr>
          <w:b/>
          <w:bCs/>
          <w:sz w:val="18"/>
          <w:szCs w:val="18"/>
        </w:rPr>
        <w:t>8. Average Order Value (AOV)</w:t>
      </w:r>
    </w:p>
    <w:p w14:paraId="7A820436" w14:textId="77777777" w:rsidR="00D86D3F" w:rsidRPr="00D86D3F" w:rsidRDefault="00D86D3F" w:rsidP="00D86D3F">
      <w:pPr>
        <w:numPr>
          <w:ilvl w:val="0"/>
          <w:numId w:val="14"/>
        </w:numPr>
        <w:rPr>
          <w:sz w:val="18"/>
          <w:szCs w:val="18"/>
        </w:rPr>
      </w:pPr>
      <w:r w:rsidRPr="00D86D3F">
        <w:rPr>
          <w:sz w:val="18"/>
          <w:szCs w:val="18"/>
        </w:rPr>
        <w:t>AOV by Category → nearly identical (~₹73.6K–₹75.9K) → no category significantly drives higher spend.</w:t>
      </w:r>
    </w:p>
    <w:p w14:paraId="68E89063" w14:textId="77777777" w:rsidR="00D86D3F" w:rsidRPr="00D86D3F" w:rsidRDefault="00D86D3F" w:rsidP="00D86D3F">
      <w:pPr>
        <w:numPr>
          <w:ilvl w:val="0"/>
          <w:numId w:val="14"/>
        </w:numPr>
        <w:rPr>
          <w:sz w:val="18"/>
          <w:szCs w:val="18"/>
        </w:rPr>
      </w:pPr>
      <w:r w:rsidRPr="00D86D3F">
        <w:rPr>
          <w:sz w:val="18"/>
          <w:szCs w:val="18"/>
        </w:rPr>
        <w:t>AOV by State → likely a tight range too (e.g., ~₹71K–₹77K).</w:t>
      </w:r>
    </w:p>
    <w:p w14:paraId="3CF82113" w14:textId="77777777" w:rsidR="00D86D3F" w:rsidRPr="00D86D3F" w:rsidRDefault="00D86D3F" w:rsidP="00D86D3F">
      <w:pPr>
        <w:numPr>
          <w:ilvl w:val="0"/>
          <w:numId w:val="14"/>
        </w:numPr>
        <w:rPr>
          <w:sz w:val="18"/>
          <w:szCs w:val="18"/>
        </w:rPr>
      </w:pPr>
      <w:r w:rsidRPr="00D86D3F">
        <w:rPr>
          <w:sz w:val="18"/>
          <w:szCs w:val="18"/>
        </w:rPr>
        <w:t>Overall AOV = ~₹74,544.</w:t>
      </w:r>
    </w:p>
    <w:p w14:paraId="16199A17" w14:textId="77777777" w:rsidR="00D86D3F" w:rsidRPr="00D86D3F" w:rsidRDefault="00D86D3F" w:rsidP="00D86D3F">
      <w:pPr>
        <w:rPr>
          <w:sz w:val="18"/>
          <w:szCs w:val="18"/>
        </w:rPr>
      </w:pPr>
      <w:r w:rsidRPr="00D86D3F">
        <w:rPr>
          <w:b/>
          <w:bCs/>
          <w:sz w:val="18"/>
          <w:szCs w:val="18"/>
        </w:rPr>
        <w:t>9. Ratings &amp; Reviews</w:t>
      </w:r>
    </w:p>
    <w:p w14:paraId="6F392311" w14:textId="77777777" w:rsidR="00D86D3F" w:rsidRPr="00D86D3F" w:rsidRDefault="00D86D3F" w:rsidP="00D86D3F">
      <w:pPr>
        <w:numPr>
          <w:ilvl w:val="0"/>
          <w:numId w:val="15"/>
        </w:numPr>
        <w:rPr>
          <w:sz w:val="18"/>
          <w:szCs w:val="18"/>
        </w:rPr>
      </w:pPr>
      <w:r w:rsidRPr="00D86D3F">
        <w:rPr>
          <w:sz w:val="18"/>
          <w:szCs w:val="18"/>
        </w:rPr>
        <w:t>Average rating is ~3.00 across all categories.</w:t>
      </w:r>
    </w:p>
    <w:p w14:paraId="7E0344A6" w14:textId="77777777" w:rsidR="00D86D3F" w:rsidRPr="00D86D3F" w:rsidRDefault="00D86D3F" w:rsidP="00D86D3F">
      <w:pPr>
        <w:numPr>
          <w:ilvl w:val="0"/>
          <w:numId w:val="15"/>
        </w:numPr>
        <w:rPr>
          <w:sz w:val="18"/>
          <w:szCs w:val="18"/>
        </w:rPr>
      </w:pPr>
      <w:r w:rsidRPr="00D86D3F">
        <w:rPr>
          <w:sz w:val="18"/>
          <w:szCs w:val="18"/>
        </w:rPr>
        <w:t>The rating distribution is almost perfectly uniform (each star level ~20% of orders), which strongly suggests this is synthetic data.</w:t>
      </w:r>
    </w:p>
    <w:p w14:paraId="5E6D8FB6" w14:textId="77777777" w:rsidR="00D86D3F" w:rsidRPr="00D86D3F" w:rsidRDefault="00D86D3F" w:rsidP="00D86D3F">
      <w:pPr>
        <w:numPr>
          <w:ilvl w:val="0"/>
          <w:numId w:val="15"/>
        </w:numPr>
        <w:rPr>
          <w:sz w:val="18"/>
          <w:szCs w:val="18"/>
        </w:rPr>
      </w:pPr>
      <w:r w:rsidRPr="00D86D3F">
        <w:rPr>
          <w:sz w:val="18"/>
          <w:szCs w:val="18"/>
        </w:rPr>
        <w:t>Even more notably, returned orders have the same average rating (~3.0) as delivered orders.</w:t>
      </w:r>
    </w:p>
    <w:p w14:paraId="2C2F1940" w14:textId="77777777" w:rsidR="00D86D3F" w:rsidRPr="00D86D3F" w:rsidRDefault="00D86D3F" w:rsidP="00D86D3F">
      <w:pPr>
        <w:rPr>
          <w:sz w:val="18"/>
          <w:szCs w:val="18"/>
        </w:rPr>
      </w:pPr>
      <w:r w:rsidRPr="00D86D3F">
        <w:rPr>
          <w:b/>
          <w:bCs/>
          <w:sz w:val="18"/>
          <w:szCs w:val="18"/>
        </w:rPr>
        <w:t>10. High-Value Orders</w:t>
      </w:r>
    </w:p>
    <w:p w14:paraId="25E887D0" w14:textId="77777777" w:rsidR="00D86D3F" w:rsidRPr="00D86D3F" w:rsidRDefault="00D86D3F" w:rsidP="00D86D3F">
      <w:pPr>
        <w:numPr>
          <w:ilvl w:val="0"/>
          <w:numId w:val="16"/>
        </w:numPr>
        <w:rPr>
          <w:sz w:val="18"/>
          <w:szCs w:val="18"/>
        </w:rPr>
      </w:pPr>
      <w:r w:rsidRPr="00D86D3F">
        <w:rPr>
          <w:sz w:val="18"/>
          <w:szCs w:val="18"/>
        </w:rPr>
        <w:t>28.61% of orders (4,291) are high-value (&gt;₹100K), yet they generate 59.20% of total revenue.</w:t>
      </w:r>
    </w:p>
    <w:p w14:paraId="64AF0F0D" w14:textId="77777777" w:rsidR="00D86D3F" w:rsidRPr="00D86D3F" w:rsidRDefault="00D86D3F" w:rsidP="00D86D3F">
      <w:pPr>
        <w:numPr>
          <w:ilvl w:val="0"/>
          <w:numId w:val="16"/>
        </w:numPr>
        <w:rPr>
          <w:sz w:val="18"/>
          <w:szCs w:val="18"/>
        </w:rPr>
      </w:pPr>
      <w:r w:rsidRPr="00D86D3F">
        <w:rPr>
          <w:sz w:val="18"/>
          <w:szCs w:val="18"/>
        </w:rPr>
        <w:t>Regular orders (&lt;₹100K) account for 71.39% of orders but only 40.80% of revenue.</w:t>
      </w:r>
    </w:p>
    <w:p w14:paraId="716088B1" w14:textId="26523488" w:rsidR="00D86D3F" w:rsidRPr="00D86D3F" w:rsidRDefault="00D86D3F">
      <w:pPr>
        <w:rPr>
          <w:sz w:val="16"/>
          <w:szCs w:val="16"/>
        </w:rPr>
      </w:pPr>
    </w:p>
    <w:sectPr w:rsidR="00D86D3F" w:rsidRPr="00D86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26CB4"/>
    <w:multiLevelType w:val="multilevel"/>
    <w:tmpl w:val="EFBC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D5A63"/>
    <w:multiLevelType w:val="multilevel"/>
    <w:tmpl w:val="9EF4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B1E28"/>
    <w:multiLevelType w:val="multilevel"/>
    <w:tmpl w:val="53C2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61894"/>
    <w:multiLevelType w:val="multilevel"/>
    <w:tmpl w:val="3DDE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257AA"/>
    <w:multiLevelType w:val="multilevel"/>
    <w:tmpl w:val="C036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229CF"/>
    <w:multiLevelType w:val="multilevel"/>
    <w:tmpl w:val="4CDE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B15FAD"/>
    <w:multiLevelType w:val="multilevel"/>
    <w:tmpl w:val="7E94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5411A"/>
    <w:multiLevelType w:val="multilevel"/>
    <w:tmpl w:val="817E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B6DEF"/>
    <w:multiLevelType w:val="multilevel"/>
    <w:tmpl w:val="6EFA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00D68"/>
    <w:multiLevelType w:val="multilevel"/>
    <w:tmpl w:val="1A56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C4C1B"/>
    <w:multiLevelType w:val="multilevel"/>
    <w:tmpl w:val="FDAA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82CBC"/>
    <w:multiLevelType w:val="multilevel"/>
    <w:tmpl w:val="DCF4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878EC"/>
    <w:multiLevelType w:val="multilevel"/>
    <w:tmpl w:val="9A6A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DE6F33"/>
    <w:multiLevelType w:val="multilevel"/>
    <w:tmpl w:val="7432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0D0225"/>
    <w:multiLevelType w:val="multilevel"/>
    <w:tmpl w:val="0046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72984"/>
    <w:multiLevelType w:val="multilevel"/>
    <w:tmpl w:val="B820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989495">
    <w:abstractNumId w:val="12"/>
  </w:num>
  <w:num w:numId="2" w16cid:durableId="2117478870">
    <w:abstractNumId w:val="9"/>
  </w:num>
  <w:num w:numId="3" w16cid:durableId="1739982644">
    <w:abstractNumId w:val="6"/>
  </w:num>
  <w:num w:numId="4" w16cid:durableId="815148705">
    <w:abstractNumId w:val="14"/>
  </w:num>
  <w:num w:numId="5" w16cid:durableId="1371496871">
    <w:abstractNumId w:val="1"/>
  </w:num>
  <w:num w:numId="6" w16cid:durableId="1797218114">
    <w:abstractNumId w:val="0"/>
  </w:num>
  <w:num w:numId="7" w16cid:durableId="53429770">
    <w:abstractNumId w:val="15"/>
  </w:num>
  <w:num w:numId="8" w16cid:durableId="1727408010">
    <w:abstractNumId w:val="7"/>
  </w:num>
  <w:num w:numId="9" w16cid:durableId="2063630196">
    <w:abstractNumId w:val="5"/>
  </w:num>
  <w:num w:numId="10" w16cid:durableId="669914110">
    <w:abstractNumId w:val="11"/>
  </w:num>
  <w:num w:numId="11" w16cid:durableId="743524807">
    <w:abstractNumId w:val="8"/>
  </w:num>
  <w:num w:numId="12" w16cid:durableId="1841503013">
    <w:abstractNumId w:val="3"/>
  </w:num>
  <w:num w:numId="13" w16cid:durableId="1202354082">
    <w:abstractNumId w:val="4"/>
  </w:num>
  <w:num w:numId="14" w16cid:durableId="1167863319">
    <w:abstractNumId w:val="10"/>
  </w:num>
  <w:num w:numId="15" w16cid:durableId="2062753660">
    <w:abstractNumId w:val="13"/>
  </w:num>
  <w:num w:numId="16" w16cid:durableId="956524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D3F"/>
    <w:rsid w:val="000949E7"/>
    <w:rsid w:val="00D8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F53C4"/>
  <w15:chartTrackingRefBased/>
  <w15:docId w15:val="{70EA344E-F8F1-48E0-9056-35EEFA632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D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pal</dc:creator>
  <cp:keywords/>
  <dc:description/>
  <cp:lastModifiedBy>sadhana pal</cp:lastModifiedBy>
  <cp:revision>1</cp:revision>
  <dcterms:created xsi:type="dcterms:W3CDTF">2026-09-27T13:28:00Z</dcterms:created>
  <dcterms:modified xsi:type="dcterms:W3CDTF">2026-09-27T13:38:00Z</dcterms:modified>
</cp:coreProperties>
</file>