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6F5" w:rsidRDefault="007A26F5" w:rsidP="007A26F5">
      <w:pPr>
        <w:jc w:val="center"/>
        <w:rPr>
          <w:rFonts w:ascii="Arial" w:hAnsi="Arial" w:cs="Arial"/>
          <w:b/>
          <w:sz w:val="36"/>
          <w:szCs w:val="36"/>
        </w:rPr>
      </w:pPr>
    </w:p>
    <w:p w:rsidR="004F072B" w:rsidRDefault="007A26F5" w:rsidP="007A26F5">
      <w:pPr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Workflow Documentation Template</w:t>
      </w:r>
    </w:p>
    <w:p w:rsidR="007A26F5" w:rsidRDefault="007A26F5" w:rsidP="007A26F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August 2, 2018</w:t>
      </w:r>
    </w:p>
    <w:p w:rsidR="007A26F5" w:rsidRDefault="007A26F5" w:rsidP="007A26F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Version:</w:t>
      </w:r>
    </w:p>
    <w:p w:rsidR="007A26F5" w:rsidRDefault="007A26F5" w:rsidP="007A26F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 of Documentation:</w:t>
      </w:r>
    </w:p>
    <w:p w:rsidR="007A26F5" w:rsidRDefault="007A26F5" w:rsidP="007A26F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Workflow Name:</w:t>
      </w:r>
    </w:p>
    <w:p w:rsidR="007A26F5" w:rsidRDefault="007A26F5" w:rsidP="007A26F5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Description: </w:t>
      </w:r>
      <w:r>
        <w:rPr>
          <w:rFonts w:ascii="Arial" w:hAnsi="Arial" w:cs="Arial"/>
        </w:rPr>
        <w:t>(Short Description and keywords)</w:t>
      </w:r>
    </w:p>
    <w:p w:rsidR="007A26F5" w:rsidRPr="007A26F5" w:rsidRDefault="007A26F5" w:rsidP="007A26F5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Workflow Category: </w:t>
      </w:r>
      <w:r>
        <w:rPr>
          <w:rFonts w:ascii="Arial" w:hAnsi="Arial" w:cs="Arial"/>
        </w:rPr>
        <w:t>(This will need to be worked out. There are probably 10 major workflow categories like Plunger Lift Exceptions, Flow Assurance Exceptions, Well Creation and Administration etc.)</w:t>
      </w:r>
    </w:p>
    <w:p w:rsidR="007A26F5" w:rsidRDefault="007A26F5" w:rsidP="007A26F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Author:</w:t>
      </w:r>
    </w:p>
    <w:p w:rsidR="007A26F5" w:rsidRPr="007A26F5" w:rsidRDefault="007A26F5" w:rsidP="007A26F5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Maintainer: </w:t>
      </w:r>
      <w:r>
        <w:rPr>
          <w:rFonts w:ascii="Arial" w:hAnsi="Arial" w:cs="Arial"/>
        </w:rPr>
        <w:t>(this ma</w:t>
      </w:r>
      <w:r w:rsidR="006A2CA6">
        <w:rPr>
          <w:rFonts w:ascii="Arial" w:hAnsi="Arial" w:cs="Arial"/>
        </w:rPr>
        <w:t>y be different from the author.)</w:t>
      </w:r>
    </w:p>
    <w:p w:rsidR="007A26F5" w:rsidRDefault="007A26F5" w:rsidP="007A26F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Development Version of IVM:</w:t>
      </w:r>
    </w:p>
    <w:p w:rsidR="007A26F5" w:rsidRDefault="007A26F5" w:rsidP="007A26F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Custom Packages Used:</w:t>
      </w:r>
    </w:p>
    <w:p w:rsidR="007A26F5" w:rsidRPr="006A2CA6" w:rsidRDefault="006A2CA6" w:rsidP="007A26F5">
      <w:pPr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Referenced in Schedules: </w:t>
      </w:r>
      <w:r>
        <w:rPr>
          <w:rFonts w:ascii="Arial" w:hAnsi="Arial" w:cs="Arial"/>
        </w:rPr>
        <w:t>(list schedules that run this workflow)</w:t>
      </w:r>
    </w:p>
    <w:p w:rsidR="007A26F5" w:rsidRDefault="007A26F5" w:rsidP="007A26F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Related Workflows:</w:t>
      </w:r>
    </w:p>
    <w:p w:rsidR="006A2CA6" w:rsidRDefault="006A2CA6" w:rsidP="007A26F5">
      <w:pPr>
        <w:rPr>
          <w:rFonts w:ascii="Arial" w:hAnsi="Arial" w:cs="Arial"/>
          <w:color w:val="00B0F0"/>
          <w:u w:val="single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</w:rPr>
        <w:t>Name</w:t>
      </w:r>
      <w:r>
        <w:rPr>
          <w:rFonts w:ascii="Arial" w:hAnsi="Arial" w:cs="Arial"/>
        </w:rPr>
        <w:t xml:space="preserve"> ………………………………………………………………………………….</w:t>
      </w:r>
      <w:r w:rsidRPr="006A2CA6">
        <w:rPr>
          <w:rFonts w:ascii="Arial" w:hAnsi="Arial" w:cs="Arial"/>
          <w:color w:val="00B0F0"/>
          <w:u w:val="single"/>
        </w:rPr>
        <w:t>hyperlink</w:t>
      </w:r>
    </w:p>
    <w:p w:rsidR="006A2CA6" w:rsidRDefault="006A2CA6" w:rsidP="007A26F5">
      <w:pPr>
        <w:rPr>
          <w:rFonts w:ascii="Arial" w:hAnsi="Arial" w:cs="Arial"/>
          <w:color w:val="00B0F0"/>
          <w:u w:val="single"/>
        </w:rPr>
      </w:pPr>
    </w:p>
    <w:p w:rsidR="006A2CA6" w:rsidRDefault="006A2CA6" w:rsidP="007A26F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Workflow Dependencies:</w:t>
      </w:r>
    </w:p>
    <w:p w:rsidR="006A2CA6" w:rsidRDefault="006A2CA6" w:rsidP="006A2CA6">
      <w:pPr>
        <w:ind w:left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Inputs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2CA6" w:rsidTr="006A2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:rsidR="006A2CA6" w:rsidRPr="006A2CA6" w:rsidRDefault="006A2CA6" w:rsidP="006A2CA6">
            <w:pPr>
              <w:rPr>
                <w:rFonts w:ascii="Arial" w:hAnsi="Arial" w:cs="Arial"/>
                <w:b/>
                <w:sz w:val="22"/>
              </w:rPr>
            </w:pPr>
            <w:r w:rsidRPr="006A2CA6">
              <w:rPr>
                <w:rFonts w:ascii="Arial" w:hAnsi="Arial" w:cs="Arial"/>
                <w:b/>
                <w:sz w:val="22"/>
              </w:rPr>
              <w:t>Input Variables</w:t>
            </w:r>
          </w:p>
        </w:tc>
        <w:tc>
          <w:tcPr>
            <w:tcW w:w="4675" w:type="dxa"/>
          </w:tcPr>
          <w:p w:rsidR="006A2CA6" w:rsidRPr="006A2CA6" w:rsidRDefault="006A2CA6" w:rsidP="006A2C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</w:rPr>
            </w:pPr>
            <w:r w:rsidRPr="006A2CA6">
              <w:rPr>
                <w:rFonts w:ascii="Arial" w:hAnsi="Arial" w:cs="Arial"/>
                <w:b/>
                <w:sz w:val="22"/>
              </w:rPr>
              <w:t>Workflow that Outputs This Variable</w:t>
            </w:r>
          </w:p>
        </w:tc>
      </w:tr>
      <w:tr w:rsidR="006A2CA6" w:rsidTr="006A2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A2CA6" w:rsidRPr="006A2CA6" w:rsidRDefault="006A2CA6" w:rsidP="006A2CA6">
            <w:pPr>
              <w:rPr>
                <w:rFonts w:ascii="Arial" w:hAnsi="Arial" w:cs="Arial"/>
                <w:sz w:val="22"/>
              </w:rPr>
            </w:pPr>
            <w:r w:rsidRPr="006A2CA6">
              <w:rPr>
                <w:rFonts w:ascii="Arial" w:hAnsi="Arial" w:cs="Arial"/>
                <w:sz w:val="22"/>
              </w:rPr>
              <w:t>Object Property Name – Data Source Name</w:t>
            </w:r>
          </w:p>
        </w:tc>
        <w:tc>
          <w:tcPr>
            <w:tcW w:w="4675" w:type="dxa"/>
          </w:tcPr>
          <w:p w:rsidR="006A2CA6" w:rsidRPr="006A2CA6" w:rsidRDefault="006A2CA6" w:rsidP="006A2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 of Workflow </w:t>
            </w: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  <w:color w:val="00B0F0"/>
                <w:u w:val="single"/>
              </w:rPr>
              <w:t>hyperlink</w:t>
            </w:r>
            <w:r>
              <w:rPr>
                <w:rFonts w:ascii="Arial" w:hAnsi="Arial" w:cs="Arial"/>
                <w:u w:val="single"/>
              </w:rPr>
              <w:t>)</w:t>
            </w:r>
          </w:p>
        </w:tc>
      </w:tr>
      <w:tr w:rsidR="006A2CA6" w:rsidTr="006A2C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A2CA6" w:rsidRDefault="006A2CA6" w:rsidP="006A2CA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6A2CA6" w:rsidRDefault="006A2CA6" w:rsidP="006A2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6A2CA6" w:rsidRDefault="006A2CA6" w:rsidP="006A2CA6">
      <w:pPr>
        <w:ind w:left="720"/>
        <w:rPr>
          <w:rFonts w:ascii="Arial" w:hAnsi="Arial" w:cs="Arial"/>
          <w:b/>
          <w:sz w:val="24"/>
          <w:szCs w:val="24"/>
        </w:rPr>
      </w:pPr>
    </w:p>
    <w:p w:rsidR="006A2CA6" w:rsidRDefault="006A2CA6" w:rsidP="006A2CA6">
      <w:pPr>
        <w:ind w:left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Outputs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A2CA6" w:rsidTr="004F1B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75" w:type="dxa"/>
          </w:tcPr>
          <w:p w:rsidR="006A2CA6" w:rsidRPr="006A2CA6" w:rsidRDefault="006A2CA6" w:rsidP="004F1B1A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Output</w:t>
            </w:r>
            <w:r w:rsidRPr="006A2CA6">
              <w:rPr>
                <w:rFonts w:ascii="Arial" w:hAnsi="Arial" w:cs="Arial"/>
                <w:b/>
                <w:sz w:val="22"/>
              </w:rPr>
              <w:t xml:space="preserve"> Variables</w:t>
            </w:r>
          </w:p>
        </w:tc>
        <w:tc>
          <w:tcPr>
            <w:tcW w:w="4675" w:type="dxa"/>
          </w:tcPr>
          <w:p w:rsidR="006A2CA6" w:rsidRPr="006A2CA6" w:rsidRDefault="006A2CA6" w:rsidP="006A2C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2"/>
              </w:rPr>
            </w:pPr>
            <w:r w:rsidRPr="006A2CA6">
              <w:rPr>
                <w:rFonts w:ascii="Arial" w:hAnsi="Arial" w:cs="Arial"/>
                <w:b/>
                <w:sz w:val="22"/>
              </w:rPr>
              <w:t xml:space="preserve">Workflow that </w:t>
            </w:r>
            <w:r>
              <w:rPr>
                <w:rFonts w:ascii="Arial" w:hAnsi="Arial" w:cs="Arial"/>
                <w:b/>
                <w:sz w:val="22"/>
              </w:rPr>
              <w:t>Uses</w:t>
            </w:r>
            <w:r w:rsidRPr="006A2CA6">
              <w:rPr>
                <w:rFonts w:ascii="Arial" w:hAnsi="Arial" w:cs="Arial"/>
                <w:b/>
                <w:sz w:val="22"/>
              </w:rPr>
              <w:t xml:space="preserve"> This Variable</w:t>
            </w:r>
          </w:p>
        </w:tc>
      </w:tr>
      <w:tr w:rsidR="006A2CA6" w:rsidTr="004F1B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A2CA6" w:rsidRPr="006A2CA6" w:rsidRDefault="006A2CA6" w:rsidP="004F1B1A">
            <w:pPr>
              <w:rPr>
                <w:rFonts w:ascii="Arial" w:hAnsi="Arial" w:cs="Arial"/>
                <w:sz w:val="22"/>
              </w:rPr>
            </w:pPr>
            <w:r w:rsidRPr="006A2CA6">
              <w:rPr>
                <w:rFonts w:ascii="Arial" w:hAnsi="Arial" w:cs="Arial"/>
                <w:sz w:val="22"/>
              </w:rPr>
              <w:t>Object Property Name – Data Source Name</w:t>
            </w:r>
          </w:p>
        </w:tc>
        <w:tc>
          <w:tcPr>
            <w:tcW w:w="4675" w:type="dxa"/>
          </w:tcPr>
          <w:p w:rsidR="006A2CA6" w:rsidRPr="006A2CA6" w:rsidRDefault="006A2CA6" w:rsidP="004F1B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Name of Workflow</w:t>
            </w:r>
            <w:r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  <w:color w:val="00B0F0"/>
                <w:u w:val="single"/>
              </w:rPr>
              <w:t>hyperlink</w:t>
            </w:r>
            <w:r>
              <w:rPr>
                <w:rFonts w:ascii="Arial" w:hAnsi="Arial" w:cs="Arial"/>
                <w:u w:val="single"/>
              </w:rPr>
              <w:t>)</w:t>
            </w:r>
          </w:p>
        </w:tc>
      </w:tr>
      <w:tr w:rsidR="006A2CA6" w:rsidTr="004F1B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:rsidR="006A2CA6" w:rsidRDefault="006A2CA6" w:rsidP="004F1B1A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6A2CA6" w:rsidRDefault="006A2CA6" w:rsidP="004F1B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6A2CA6" w:rsidRDefault="006A2CA6" w:rsidP="006A2CA6">
      <w:pPr>
        <w:ind w:left="720"/>
        <w:rPr>
          <w:rFonts w:ascii="Arial" w:hAnsi="Arial" w:cs="Arial"/>
          <w:b/>
          <w:sz w:val="24"/>
          <w:szCs w:val="24"/>
        </w:rPr>
      </w:pPr>
    </w:p>
    <w:p w:rsidR="006A2CA6" w:rsidRDefault="006A2CA6" w:rsidP="006A2CA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Description </w:t>
      </w:r>
    </w:p>
    <w:p w:rsidR="006A2CA6" w:rsidRPr="006A2CA6" w:rsidRDefault="006A2CA6" w:rsidP="006A2CA6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Pr="006A2CA6">
        <w:rPr>
          <w:rFonts w:ascii="Arial" w:hAnsi="Arial" w:cs="Arial"/>
        </w:rPr>
        <w:t>ore detailed paragraph description of the overall purpose and methodology</w:t>
      </w:r>
    </w:p>
    <w:p w:rsidR="006A2CA6" w:rsidRDefault="006A2CA6" w:rsidP="006A2CA6">
      <w:pPr>
        <w:rPr>
          <w:rFonts w:ascii="Arial" w:hAnsi="Arial" w:cs="Arial"/>
          <w:b/>
          <w:sz w:val="24"/>
          <w:szCs w:val="24"/>
        </w:rPr>
      </w:pPr>
    </w:p>
    <w:p w:rsidR="006A2CA6" w:rsidRDefault="006A2CA6" w:rsidP="006A2CA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Details </w:t>
      </w:r>
    </w:p>
    <w:p w:rsidR="006A2CA6" w:rsidRDefault="006A2CA6" w:rsidP="006A2CA6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B</w:t>
      </w:r>
      <w:r w:rsidRPr="006A2CA6">
        <w:rPr>
          <w:rFonts w:ascii="Arial" w:hAnsi="Arial" w:cs="Arial"/>
        </w:rPr>
        <w:t>rief theoretical overview and history of the evolution of the method, if applicable</w:t>
      </w:r>
      <w:r>
        <w:rPr>
          <w:rFonts w:ascii="Arial" w:hAnsi="Arial" w:cs="Arial"/>
        </w:rPr>
        <w:t xml:space="preserve">. Would include references if workflow method uses a theoretical approach from an external resource. </w:t>
      </w:r>
    </w:p>
    <w:p w:rsidR="006A2CA6" w:rsidRDefault="006A2CA6" w:rsidP="006A2CA6">
      <w:pPr>
        <w:ind w:left="720"/>
        <w:rPr>
          <w:rFonts w:ascii="Arial" w:hAnsi="Arial" w:cs="Arial"/>
        </w:rPr>
      </w:pPr>
    </w:p>
    <w:p w:rsidR="006A2CA6" w:rsidRDefault="006A2CA6" w:rsidP="006A2CA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Author Information</w:t>
      </w:r>
    </w:p>
    <w:p w:rsidR="006A2CA6" w:rsidRDefault="006A2CA6" w:rsidP="006A2CA6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Name; email; current employee?</w:t>
      </w:r>
    </w:p>
    <w:p w:rsidR="006A2CA6" w:rsidRDefault="006A2CA6" w:rsidP="006A2CA6">
      <w:pPr>
        <w:ind w:left="720"/>
        <w:jc w:val="both"/>
        <w:rPr>
          <w:rFonts w:ascii="Arial" w:hAnsi="Arial" w:cs="Arial"/>
        </w:rPr>
      </w:pPr>
    </w:p>
    <w:p w:rsidR="006A2CA6" w:rsidRDefault="006A2CA6" w:rsidP="006A2CA6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Sketch of Workflow Logic</w:t>
      </w:r>
    </w:p>
    <w:p w:rsidR="006A2CA6" w:rsidRPr="006A2CA6" w:rsidRDefault="006A2CA6" w:rsidP="006A2CA6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Can range from very simple to complex. This section will give users an idea of where to look in the workflow for a certain calculation. This will entail working with the workflow author to discuss the logic and possibly bringing workflows to a cleaner, more consistent state. </w:t>
      </w:r>
      <w:bookmarkStart w:id="0" w:name="_GoBack"/>
      <w:bookmarkEnd w:id="0"/>
    </w:p>
    <w:p w:rsidR="006A2CA6" w:rsidRDefault="006A2CA6" w:rsidP="006A2CA6">
      <w:pPr>
        <w:rPr>
          <w:rFonts w:ascii="Arial" w:hAnsi="Arial" w:cs="Arial"/>
          <w:b/>
          <w:sz w:val="24"/>
          <w:szCs w:val="24"/>
        </w:rPr>
      </w:pPr>
    </w:p>
    <w:p w:rsid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Pr="006A2CA6" w:rsidRDefault="006A2CA6" w:rsidP="006A2CA6">
      <w:pPr>
        <w:rPr>
          <w:rFonts w:ascii="Arial" w:hAnsi="Arial" w:cs="Arial"/>
        </w:rPr>
      </w:pPr>
    </w:p>
    <w:p w:rsidR="006A2CA6" w:rsidRDefault="006A2CA6" w:rsidP="006A2CA6">
      <w:pPr>
        <w:rPr>
          <w:rFonts w:ascii="Arial" w:hAnsi="Arial" w:cs="Arial"/>
        </w:rPr>
      </w:pPr>
    </w:p>
    <w:p w:rsidR="006A2CA6" w:rsidRDefault="006A2CA6" w:rsidP="006A2CA6">
      <w:pPr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p w:rsidR="006A2CA6" w:rsidRPr="006A2CA6" w:rsidRDefault="006A2CA6" w:rsidP="006A2CA6">
      <w:pPr>
        <w:tabs>
          <w:tab w:val="left" w:pos="1945"/>
        </w:tabs>
        <w:rPr>
          <w:rFonts w:ascii="Arial" w:hAnsi="Arial" w:cs="Arial"/>
        </w:rPr>
      </w:pPr>
    </w:p>
    <w:sectPr w:rsidR="006A2CA6" w:rsidRPr="006A2CA6" w:rsidSect="006A2CA6">
      <w:headerReference w:type="defaul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2CA6" w:rsidRDefault="006A2CA6" w:rsidP="006A2CA6">
      <w:pPr>
        <w:spacing w:after="0" w:line="240" w:lineRule="auto"/>
      </w:pPr>
      <w:r>
        <w:separator/>
      </w:r>
    </w:p>
  </w:endnote>
  <w:endnote w:type="continuationSeparator" w:id="0">
    <w:p w:rsidR="006A2CA6" w:rsidRDefault="006A2CA6" w:rsidP="006A2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2CA6" w:rsidRDefault="006A2CA6" w:rsidP="006A2CA6">
      <w:pPr>
        <w:spacing w:after="0" w:line="240" w:lineRule="auto"/>
      </w:pPr>
      <w:r>
        <w:separator/>
      </w:r>
    </w:p>
  </w:footnote>
  <w:footnote w:type="continuationSeparator" w:id="0">
    <w:p w:rsidR="006A2CA6" w:rsidRDefault="006A2CA6" w:rsidP="006A2C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2CA6" w:rsidRDefault="006A2CA6">
    <w:pPr>
      <w:pStyle w:val="Header"/>
    </w:pPr>
    <w:r w:rsidRPr="006A2CA6">
      <w:fldChar w:fldCharType="begin"/>
    </w:r>
    <w:r w:rsidRPr="006A2CA6">
      <w:instrText xml:space="preserve"> PAGE   \* MERGEFORMAT </w:instrText>
    </w:r>
    <w:r w:rsidRPr="006A2CA6">
      <w:fldChar w:fldCharType="separate"/>
    </w:r>
    <w:r>
      <w:rPr>
        <w:noProof/>
      </w:rPr>
      <w:t>2</w:t>
    </w:r>
    <w:r w:rsidRPr="006A2CA6">
      <w:rPr>
        <w:noProof/>
      </w:rPr>
      <w:fldChar w:fldCharType="end"/>
    </w:r>
    <w:r>
      <w:ptab w:relativeTo="margin" w:alignment="center" w:leader="none"/>
    </w:r>
    <w:r>
      <w:ptab w:relativeTo="margin" w:alignment="right" w:leader="none"/>
    </w:r>
    <w:r>
      <w:t>Workflow Name</w:t>
    </w:r>
  </w:p>
  <w:p w:rsidR="006A2CA6" w:rsidRDefault="006A2C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6F5"/>
    <w:rsid w:val="004F072B"/>
    <w:rsid w:val="006A2CA6"/>
    <w:rsid w:val="007A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F273"/>
  <w15:chartTrackingRefBased/>
  <w15:docId w15:val="{2BF3B923-A642-4BC9-BDDB-E4C7A774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2C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6A2CA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A2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CA6"/>
  </w:style>
  <w:style w:type="paragraph" w:styleId="Footer">
    <w:name w:val="footer"/>
    <w:basedOn w:val="Normal"/>
    <w:link w:val="FooterChar"/>
    <w:uiPriority w:val="99"/>
    <w:unhideWhenUsed/>
    <w:rsid w:val="006A2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Anadarko Petroleum Corporation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Flowers, Kreg</dc:creator>
  <cp:keywords/>
  <dc:description/>
  <cp:lastModifiedBy>Flowers, Kreg</cp:lastModifiedBy>
  <cp:revision>1</cp:revision>
  <dcterms:created xsi:type="dcterms:W3CDTF">2018-08-02T14:46:00Z</dcterms:created>
  <dcterms:modified xsi:type="dcterms:W3CDTF">2018-08-02T15:17:00Z</dcterms:modified>
</cp:coreProperties>
</file>