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6B2" w:rsidRDefault="005766B2" w:rsidP="005766B2">
      <w:pPr>
        <w:jc w:val="center"/>
        <w:rPr>
          <w:sz w:val="144"/>
          <w:szCs w:val="144"/>
        </w:rPr>
      </w:pPr>
    </w:p>
    <w:p w:rsidR="005766B2" w:rsidRDefault="005766B2" w:rsidP="005766B2">
      <w:pPr>
        <w:jc w:val="center"/>
        <w:rPr>
          <w:sz w:val="144"/>
          <w:szCs w:val="144"/>
        </w:rPr>
      </w:pPr>
      <w:r w:rsidRPr="005766B2">
        <w:rPr>
          <w:sz w:val="144"/>
          <w:szCs w:val="144"/>
        </w:rPr>
        <w:t>El juego</w:t>
      </w:r>
      <w:r>
        <w:rPr>
          <w:sz w:val="144"/>
          <w:szCs w:val="144"/>
        </w:rPr>
        <w:t xml:space="preserve"> </w:t>
      </w:r>
      <w:r w:rsidRPr="005766B2">
        <w:rPr>
          <w:sz w:val="144"/>
          <w:szCs w:val="144"/>
        </w:rPr>
        <w:t>de la</w:t>
      </w:r>
    </w:p>
    <w:p w:rsidR="005766B2" w:rsidRDefault="005766B2" w:rsidP="005766B2">
      <w:pPr>
        <w:jc w:val="center"/>
        <w:rPr>
          <w:sz w:val="180"/>
          <w:szCs w:val="180"/>
        </w:rPr>
      </w:pPr>
      <w:r>
        <w:rPr>
          <w:sz w:val="180"/>
          <w:szCs w:val="180"/>
        </w:rPr>
        <w:t>V</w:t>
      </w:r>
      <w:r w:rsidRPr="005766B2">
        <w:rPr>
          <w:sz w:val="180"/>
          <w:szCs w:val="180"/>
        </w:rPr>
        <w:t>ida</w:t>
      </w:r>
    </w:p>
    <w:p w:rsidR="005766B2" w:rsidRDefault="005766B2" w:rsidP="005766B2">
      <w:pPr>
        <w:jc w:val="center"/>
        <w:rPr>
          <w:sz w:val="20"/>
          <w:szCs w:val="20"/>
        </w:rPr>
      </w:pPr>
    </w:p>
    <w:p w:rsidR="005766B2" w:rsidRDefault="005766B2" w:rsidP="005766B2">
      <w:pPr>
        <w:jc w:val="right"/>
        <w:rPr>
          <w:sz w:val="20"/>
          <w:szCs w:val="20"/>
        </w:rPr>
      </w:pPr>
    </w:p>
    <w:p w:rsidR="005766B2" w:rsidRDefault="005766B2" w:rsidP="005766B2">
      <w:pPr>
        <w:jc w:val="right"/>
        <w:rPr>
          <w:sz w:val="20"/>
          <w:szCs w:val="20"/>
        </w:rPr>
      </w:pPr>
    </w:p>
    <w:p w:rsidR="005766B2" w:rsidRDefault="005766B2" w:rsidP="005766B2">
      <w:pPr>
        <w:jc w:val="right"/>
        <w:rPr>
          <w:sz w:val="20"/>
          <w:szCs w:val="20"/>
        </w:rPr>
      </w:pPr>
    </w:p>
    <w:p w:rsidR="005766B2" w:rsidRDefault="005766B2" w:rsidP="005766B2">
      <w:pPr>
        <w:jc w:val="right"/>
        <w:rPr>
          <w:sz w:val="20"/>
          <w:szCs w:val="20"/>
        </w:rPr>
      </w:pPr>
    </w:p>
    <w:p w:rsidR="005766B2" w:rsidRDefault="005766B2" w:rsidP="005766B2">
      <w:pPr>
        <w:jc w:val="right"/>
        <w:rPr>
          <w:sz w:val="20"/>
          <w:szCs w:val="20"/>
        </w:rPr>
      </w:pPr>
    </w:p>
    <w:p w:rsidR="005766B2" w:rsidRDefault="005766B2" w:rsidP="005766B2">
      <w:pPr>
        <w:jc w:val="right"/>
        <w:rPr>
          <w:sz w:val="20"/>
          <w:szCs w:val="20"/>
        </w:rPr>
      </w:pPr>
    </w:p>
    <w:p w:rsidR="005766B2" w:rsidRDefault="005766B2" w:rsidP="005766B2">
      <w:pPr>
        <w:jc w:val="right"/>
        <w:rPr>
          <w:sz w:val="20"/>
          <w:szCs w:val="20"/>
        </w:rPr>
      </w:pPr>
    </w:p>
    <w:p w:rsidR="005766B2" w:rsidRDefault="005766B2" w:rsidP="005766B2">
      <w:pPr>
        <w:jc w:val="right"/>
        <w:rPr>
          <w:sz w:val="20"/>
          <w:szCs w:val="20"/>
        </w:rPr>
      </w:pPr>
    </w:p>
    <w:p w:rsidR="005766B2" w:rsidRDefault="005766B2" w:rsidP="005766B2">
      <w:pPr>
        <w:jc w:val="right"/>
        <w:rPr>
          <w:sz w:val="20"/>
          <w:szCs w:val="20"/>
        </w:rPr>
      </w:pPr>
    </w:p>
    <w:p w:rsidR="005766B2" w:rsidRPr="005766B2" w:rsidRDefault="005766B2" w:rsidP="005766B2">
      <w:pPr>
        <w:jc w:val="right"/>
        <w:rPr>
          <w:b/>
          <w:sz w:val="20"/>
          <w:szCs w:val="20"/>
        </w:rPr>
      </w:pPr>
    </w:p>
    <w:p w:rsidR="005766B2" w:rsidRPr="005766B2" w:rsidRDefault="005766B2" w:rsidP="005766B2">
      <w:pPr>
        <w:jc w:val="right"/>
        <w:rPr>
          <w:b/>
          <w:sz w:val="24"/>
          <w:szCs w:val="24"/>
        </w:rPr>
      </w:pPr>
      <w:r w:rsidRPr="005766B2">
        <w:rPr>
          <w:b/>
          <w:sz w:val="24"/>
          <w:szCs w:val="24"/>
        </w:rPr>
        <w:t>Pedro Álvarez Piedehierro</w:t>
      </w:r>
    </w:p>
    <w:p w:rsidR="005766B2" w:rsidRDefault="005766B2" w:rsidP="005766B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Asignatura </w:t>
      </w:r>
      <w:proofErr w:type="spellStart"/>
      <w:r w:rsidRPr="005766B2">
        <w:rPr>
          <w:sz w:val="24"/>
          <w:szCs w:val="24"/>
          <w:u w:val="single"/>
        </w:rPr>
        <w:t>Linex</w:t>
      </w:r>
      <w:proofErr w:type="spellEnd"/>
      <w:r>
        <w:rPr>
          <w:sz w:val="24"/>
          <w:szCs w:val="24"/>
        </w:rPr>
        <w:t>, Curso 2011/2012</w:t>
      </w:r>
    </w:p>
    <w:p w:rsidR="005766B2" w:rsidRDefault="005766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908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766B2" w:rsidRDefault="005766B2">
          <w:pPr>
            <w:pStyle w:val="TtulodeTDC"/>
          </w:pPr>
          <w:r>
            <w:t>Tabla de contenido</w:t>
          </w:r>
        </w:p>
        <w:p w:rsidR="00D84FAF" w:rsidRDefault="005766B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670056" w:history="1">
            <w:r w:rsidR="00D84FAF" w:rsidRPr="00316988">
              <w:rPr>
                <w:rStyle w:val="Hipervnculo"/>
                <w:noProof/>
              </w:rPr>
              <w:t>Introducción</w:t>
            </w:r>
            <w:r w:rsidR="00D84FAF">
              <w:rPr>
                <w:noProof/>
                <w:webHidden/>
              </w:rPr>
              <w:tab/>
            </w:r>
            <w:r w:rsidR="00D84FAF">
              <w:rPr>
                <w:noProof/>
                <w:webHidden/>
              </w:rPr>
              <w:fldChar w:fldCharType="begin"/>
            </w:r>
            <w:r w:rsidR="00D84FAF">
              <w:rPr>
                <w:noProof/>
                <w:webHidden/>
              </w:rPr>
              <w:instrText xml:space="preserve"> PAGEREF _Toc314670056 \h </w:instrText>
            </w:r>
            <w:r w:rsidR="00D84FAF">
              <w:rPr>
                <w:noProof/>
                <w:webHidden/>
              </w:rPr>
            </w:r>
            <w:r w:rsidR="00D84FAF">
              <w:rPr>
                <w:noProof/>
                <w:webHidden/>
              </w:rPr>
              <w:fldChar w:fldCharType="separate"/>
            </w:r>
            <w:r w:rsidR="0061483E">
              <w:rPr>
                <w:noProof/>
                <w:webHidden/>
              </w:rPr>
              <w:t>3</w:t>
            </w:r>
            <w:r w:rsidR="00D84FAF">
              <w:rPr>
                <w:noProof/>
                <w:webHidden/>
              </w:rPr>
              <w:fldChar w:fldCharType="end"/>
            </w:r>
          </w:hyperlink>
        </w:p>
        <w:p w:rsidR="00D84FAF" w:rsidRDefault="00D84FA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4670057" w:history="1">
            <w:r w:rsidRPr="00316988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_Toc314670057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6B2" w:rsidRDefault="005766B2">
          <w:r>
            <w:fldChar w:fldCharType="end"/>
          </w:r>
        </w:p>
      </w:sdtContent>
    </w:sdt>
    <w:p w:rsidR="005766B2" w:rsidRDefault="005766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</w:t>
      </w:r>
      <w:r>
        <w:br w:type="page"/>
      </w:r>
    </w:p>
    <w:p w:rsidR="005766B2" w:rsidRDefault="005766B2" w:rsidP="005766B2">
      <w:pPr>
        <w:pStyle w:val="Ttulo1"/>
      </w:pPr>
      <w:bookmarkStart w:id="0" w:name="_Toc314670056"/>
      <w:r>
        <w:lastRenderedPageBreak/>
        <w:t>Introducción</w:t>
      </w:r>
      <w:bookmarkEnd w:id="0"/>
    </w:p>
    <w:p w:rsidR="00D84FAF" w:rsidRPr="00D84FAF" w:rsidRDefault="00D84FAF" w:rsidP="00D84FAF"/>
    <w:p w:rsidR="005766B2" w:rsidRPr="00D84FAF" w:rsidRDefault="005766B2" w:rsidP="00D84FAF">
      <w:pPr>
        <w:rPr>
          <w:rFonts w:ascii="Arial" w:hAnsi="Arial" w:cs="Arial"/>
          <w:sz w:val="20"/>
          <w:szCs w:val="20"/>
        </w:rPr>
      </w:pPr>
      <w:r>
        <w:tab/>
        <w:t xml:space="preserve">El "Juego de la Vida" </w:t>
      </w:r>
      <w:r w:rsidR="00D84FAF">
        <w:t>consiste en</w:t>
      </w:r>
      <w:r w:rsidRPr="00D84FAF">
        <w:rPr>
          <w:rFonts w:ascii="Arial" w:hAnsi="Arial" w:cs="Arial"/>
          <w:sz w:val="20"/>
          <w:szCs w:val="20"/>
        </w:rPr>
        <w:t xml:space="preserve"> un autómata celular, diseñado por el matemático británico John </w:t>
      </w:r>
      <w:proofErr w:type="spellStart"/>
      <w:r w:rsidRPr="00D84FAF">
        <w:rPr>
          <w:rFonts w:ascii="Arial" w:hAnsi="Arial" w:cs="Arial"/>
          <w:sz w:val="20"/>
          <w:szCs w:val="20"/>
        </w:rPr>
        <w:t>Horton</w:t>
      </w:r>
      <w:proofErr w:type="spellEnd"/>
      <w:r w:rsidRPr="00D84F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84FAF">
        <w:rPr>
          <w:rFonts w:ascii="Arial" w:hAnsi="Arial" w:cs="Arial"/>
          <w:sz w:val="20"/>
          <w:szCs w:val="20"/>
        </w:rPr>
        <w:t>Conway</w:t>
      </w:r>
      <w:proofErr w:type="spellEnd"/>
      <w:r w:rsidRPr="00D84FAF">
        <w:rPr>
          <w:rFonts w:ascii="Arial" w:hAnsi="Arial" w:cs="Arial"/>
          <w:sz w:val="20"/>
          <w:szCs w:val="20"/>
        </w:rPr>
        <w:t xml:space="preserve"> en 1970.</w:t>
      </w:r>
    </w:p>
    <w:p w:rsidR="00D84FAF" w:rsidRDefault="00D84FAF" w:rsidP="00D84FAF">
      <w:pPr>
        <w:rPr>
          <w:b/>
        </w:rPr>
      </w:pPr>
      <w:r>
        <w:rPr>
          <w:sz w:val="20"/>
          <w:szCs w:val="20"/>
        </w:rPr>
        <w:tab/>
      </w:r>
      <w:r>
        <w:t>El universo de "</w:t>
      </w:r>
      <w:r w:rsidRPr="00D84FAF">
        <w:rPr>
          <w:b/>
        </w:rPr>
        <w:t>El juego de la vida</w:t>
      </w:r>
      <w:r>
        <w:t>"</w:t>
      </w:r>
      <w:r>
        <w:rPr>
          <w:rFonts w:ascii="Arial-Bold" w:hAnsi="Arial-Bold" w:cs="Arial-Bold"/>
          <w:b/>
          <w:bCs/>
        </w:rPr>
        <w:t xml:space="preserve"> </w:t>
      </w:r>
      <w:r>
        <w:t xml:space="preserve">consiste en una malla ortogonal de dos dimensiones compuesta por células, cada una de las células tiene dos posibles estados: </w:t>
      </w:r>
      <w:r>
        <w:rPr>
          <w:b/>
        </w:rPr>
        <w:t xml:space="preserve">viva </w:t>
      </w:r>
      <w:r>
        <w:t>o</w:t>
      </w:r>
      <w:r w:rsidRPr="00D84FAF">
        <w:rPr>
          <w:b/>
        </w:rPr>
        <w:t xml:space="preserve"> muerta.</w:t>
      </w:r>
    </w:p>
    <w:p w:rsidR="00D84FAF" w:rsidRPr="00D84FAF" w:rsidRDefault="00D84FAF" w:rsidP="00D84FAF">
      <w:pPr>
        <w:rPr>
          <w:b/>
        </w:rPr>
      </w:pPr>
      <w:r>
        <w:tab/>
        <w:t xml:space="preserve">Cada célula interactúa con sus </w:t>
      </w:r>
      <w:r w:rsidRPr="00D84FAF">
        <w:t>ocho vecinas</w:t>
      </w:r>
      <w:r>
        <w:t>, que son las células que son adyacentes horizontal, vertical o diagonalmente.</w:t>
      </w:r>
    </w:p>
    <w:p w:rsidR="005766B2" w:rsidRPr="00D84FAF" w:rsidRDefault="00D84FAF" w:rsidP="00D84FAF">
      <w:r>
        <w:tab/>
      </w:r>
      <w:r w:rsidR="005766B2" w:rsidRPr="00D84FAF">
        <w:t>Después de poner una serie de células en un tablero, la animación podrá comenzar, haciéndolas multiplicarse o morir en función de una lógica bastante sencilla:</w:t>
      </w:r>
    </w:p>
    <w:p w:rsidR="00D84FAF" w:rsidRPr="00D84FAF" w:rsidRDefault="00D84FAF" w:rsidP="00D84FAF">
      <w:pPr>
        <w:pStyle w:val="Prrafodelista"/>
        <w:numPr>
          <w:ilvl w:val="0"/>
          <w:numId w:val="2"/>
        </w:numPr>
      </w:pPr>
      <w:r w:rsidRPr="00D84FAF">
        <w:t>Cada célula viva con menos de dos vecinos vivos muere por despoblación.</w:t>
      </w:r>
    </w:p>
    <w:p w:rsidR="00D84FAF" w:rsidRPr="00D84FAF" w:rsidRDefault="00D84FAF" w:rsidP="00D84FAF">
      <w:pPr>
        <w:pStyle w:val="Prrafodelista"/>
        <w:numPr>
          <w:ilvl w:val="0"/>
          <w:numId w:val="2"/>
        </w:numPr>
      </w:pPr>
      <w:r w:rsidRPr="00D84FAF">
        <w:t>Cada célula viva con dos o tres vecinos vive</w:t>
      </w:r>
      <w:r w:rsidRPr="00D84FAF">
        <w:rPr>
          <w:rFonts w:ascii="Arial-Bold" w:hAnsi="Arial-Bold" w:cs="Arial-Bold"/>
          <w:b/>
          <w:bCs/>
        </w:rPr>
        <w:t xml:space="preserve"> </w:t>
      </w:r>
      <w:r w:rsidRPr="00D84FAF">
        <w:t>en la siguiente generación.</w:t>
      </w:r>
    </w:p>
    <w:p w:rsidR="00D84FAF" w:rsidRPr="00D84FAF" w:rsidRDefault="00D84FAF" w:rsidP="00D84FAF">
      <w:pPr>
        <w:pStyle w:val="Prrafodelista"/>
        <w:numPr>
          <w:ilvl w:val="0"/>
          <w:numId w:val="2"/>
        </w:numPr>
      </w:pPr>
      <w:r>
        <w:t>Cada célula viva con má</w:t>
      </w:r>
      <w:r w:rsidRPr="00D84FAF">
        <w:t>s de tres vecinos vivos muere por superpoblación.</w:t>
      </w:r>
    </w:p>
    <w:p w:rsidR="00D84FAF" w:rsidRPr="00D84FAF" w:rsidRDefault="00D84FAF" w:rsidP="00D84FA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84FAF">
        <w:t>Cada célula muerta con exactamente tres vecinos vivos se convierte en una célula viva por reproducción.</w:t>
      </w:r>
    </w:p>
    <w:p w:rsidR="00D84FAF" w:rsidRDefault="00D84F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84FAF" w:rsidRDefault="00D84FAF" w:rsidP="00D84FAF">
      <w:pPr>
        <w:pStyle w:val="Ttulo1"/>
      </w:pPr>
      <w:bookmarkStart w:id="1" w:name="_Toc314670057"/>
      <w:r>
        <w:lastRenderedPageBreak/>
        <w:t>Manual de usuario</w:t>
      </w:r>
      <w:bookmarkEnd w:id="1"/>
    </w:p>
    <w:p w:rsidR="00D84FAF" w:rsidRDefault="00D84FAF" w:rsidP="00D84FAF"/>
    <w:p w:rsidR="00D84FAF" w:rsidRDefault="00D84FAF" w:rsidP="00D84FAF">
      <w:r>
        <w:tab/>
        <w:t xml:space="preserve">El funcionamiento del programa es bastante sencillo. Una vez instalado  podemos abrirlo desde el menú de aplicaciones haciendo </w:t>
      </w:r>
      <w:r w:rsidR="00EC31EF">
        <w:t>clic</w:t>
      </w:r>
      <w:r>
        <w:t xml:space="preserve"> en el siguiente icono.</w:t>
      </w:r>
    </w:p>
    <w:p w:rsidR="00D84FAF" w:rsidRDefault="00EC31EF" w:rsidP="00EC31E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990600" cy="8667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EF" w:rsidRDefault="00EC31EF" w:rsidP="00EC31EF">
      <w:r>
        <w:tab/>
        <w:t>Una vez hecho esto se abrirá la aplicación mostrándonos la siguiente ventana de  bienvenida:</w:t>
      </w:r>
    </w:p>
    <w:p w:rsidR="00EC31EF" w:rsidRDefault="00EC31EF" w:rsidP="00EC31E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910076" cy="31527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480" cy="315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EF" w:rsidRDefault="00EC31EF" w:rsidP="00EC31EF">
      <w:pPr>
        <w:jc w:val="center"/>
      </w:pPr>
    </w:p>
    <w:p w:rsidR="00EC31EF" w:rsidRDefault="00EC31EF" w:rsidP="00EC31EF">
      <w:r>
        <w:tab/>
      </w:r>
    </w:p>
    <w:p w:rsidR="00EC31EF" w:rsidRDefault="00EC31EF">
      <w:r>
        <w:br w:type="page"/>
      </w:r>
    </w:p>
    <w:p w:rsidR="00EC31EF" w:rsidRDefault="00EC31EF" w:rsidP="00EC31EF">
      <w:r>
        <w:lastRenderedPageBreak/>
        <w:tab/>
        <w:t>El último paso que hacer para iniciar el juego es hacer clic en el botón "Jugar". Haciendo esto se abrirá una ventana nueva con el juego:</w:t>
      </w:r>
    </w:p>
    <w:p w:rsidR="00EC31EF" w:rsidRDefault="00EC31EF" w:rsidP="00EC31E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070254" cy="3427142"/>
            <wp:effectExtent l="19050" t="0" r="6196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254" cy="342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EF" w:rsidRDefault="00EC31EF" w:rsidP="00EC31EF"/>
    <w:p w:rsidR="00EC31EF" w:rsidRDefault="00EC31EF" w:rsidP="00EC31EF">
      <w:r>
        <w:tab/>
        <w:t>Una vez abierta la ventana del juego podemos hacer clic en cualquiera de las celdas para darles vida o para quitarlas. Haciendo clic en unas cuantas la pantalla del juego podría quedar en el siguiente estado: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1"/>
        <w:gridCol w:w="3433"/>
      </w:tblGrid>
      <w:tr w:rsidR="00AC5E58" w:rsidTr="00AC5E58">
        <w:trPr>
          <w:trHeight w:val="3242"/>
        </w:trPr>
        <w:tc>
          <w:tcPr>
            <w:tcW w:w="5211" w:type="dxa"/>
            <w:vMerge w:val="restart"/>
          </w:tcPr>
          <w:p w:rsidR="00AC5E58" w:rsidRDefault="00AC5E58" w:rsidP="00AC5E58">
            <w:pPr>
              <w:jc w:val="right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124075" cy="3553840"/>
                  <wp:effectExtent l="19050" t="0" r="9525" b="0"/>
                  <wp:docPr id="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763" cy="3556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3" w:type="dxa"/>
          </w:tcPr>
          <w:p w:rsidR="00AC5E58" w:rsidRDefault="00AC5E58" w:rsidP="00AC5E58">
            <w:pPr>
              <w:jc w:val="center"/>
            </w:pPr>
          </w:p>
        </w:tc>
      </w:tr>
      <w:tr w:rsidR="00AC5E58" w:rsidTr="00AC5E58">
        <w:trPr>
          <w:trHeight w:val="712"/>
        </w:trPr>
        <w:tc>
          <w:tcPr>
            <w:tcW w:w="5211" w:type="dxa"/>
            <w:vMerge/>
          </w:tcPr>
          <w:p w:rsidR="00AC5E58" w:rsidRDefault="00AC5E58" w:rsidP="00EC31EF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3433" w:type="dxa"/>
          </w:tcPr>
          <w:p w:rsidR="00AC5E58" w:rsidRDefault="00AC5E58" w:rsidP="00AC5E58">
            <w:pPr>
              <w:jc w:val="center"/>
            </w:pPr>
            <w:r>
              <w:t xml:space="preserve">Casilla sin vida:   </w:t>
            </w:r>
            <w:r>
              <w:object w:dxaOrig="405" w:dyaOrig="3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0.25pt;height:19.5pt" o:ole="">
                  <v:imagedata r:id="rId12" o:title=""/>
                </v:shape>
                <o:OLEObject Type="Embed" ProgID="PBrush" ShapeID="_x0000_i1026" DrawAspect="Content" ObjectID="_1388413618" r:id="rId13"/>
              </w:object>
            </w:r>
          </w:p>
        </w:tc>
      </w:tr>
      <w:tr w:rsidR="00AC5E58" w:rsidTr="00AC5E58">
        <w:tc>
          <w:tcPr>
            <w:tcW w:w="5211" w:type="dxa"/>
            <w:vMerge/>
          </w:tcPr>
          <w:p w:rsidR="00AC5E58" w:rsidRDefault="00AC5E58" w:rsidP="00EC31EF">
            <w:pPr>
              <w:jc w:val="center"/>
            </w:pPr>
          </w:p>
        </w:tc>
        <w:tc>
          <w:tcPr>
            <w:tcW w:w="3433" w:type="dxa"/>
          </w:tcPr>
          <w:p w:rsidR="00AC5E58" w:rsidRDefault="00AC5E58" w:rsidP="00EC31EF">
            <w:pPr>
              <w:jc w:val="center"/>
            </w:pPr>
            <w:r>
              <w:t xml:space="preserve">Casilla con vida: </w:t>
            </w:r>
            <w:r>
              <w:object w:dxaOrig="405" w:dyaOrig="390">
                <v:shape id="_x0000_i1025" type="#_x0000_t75" style="width:20.25pt;height:19.5pt" o:ole="">
                  <v:imagedata r:id="rId14" o:title=""/>
                </v:shape>
                <o:OLEObject Type="Embed" ProgID="PBrush" ShapeID="_x0000_i1025" DrawAspect="Content" ObjectID="_1388413619" r:id="rId15"/>
              </w:object>
            </w:r>
          </w:p>
        </w:tc>
      </w:tr>
    </w:tbl>
    <w:p w:rsidR="00EC31EF" w:rsidRDefault="00EC31EF" w:rsidP="00EC31EF">
      <w:pPr>
        <w:jc w:val="center"/>
      </w:pPr>
    </w:p>
    <w:p w:rsidR="00EC31EF" w:rsidRDefault="00EC31EF" w:rsidP="00EC31EF">
      <w:r>
        <w:br w:type="page"/>
      </w:r>
      <w:r>
        <w:lastRenderedPageBreak/>
        <w:tab/>
        <w:t>Ahora para ver la ejecución de la simulación tenemos dos opciones:</w:t>
      </w:r>
    </w:p>
    <w:p w:rsidR="00EC31EF" w:rsidRDefault="00AC5E58" w:rsidP="00EC31EF">
      <w:pPr>
        <w:pStyle w:val="Prrafodelista"/>
        <w:numPr>
          <w:ilvl w:val="0"/>
          <w:numId w:val="3"/>
        </w:numPr>
      </w:pPr>
      <w:r>
        <w:t>Hacer clic en el botón "Siguiente", de tal manera que solo avanzará una generación.</w:t>
      </w:r>
    </w:p>
    <w:p w:rsidR="00AC5E58" w:rsidRDefault="00AC5E58" w:rsidP="00AC5E58">
      <w:pPr>
        <w:pStyle w:val="Prrafodelista"/>
      </w:pPr>
    </w:p>
    <w:p w:rsidR="00AC5E58" w:rsidRDefault="00AC5E58" w:rsidP="00EC31EF">
      <w:pPr>
        <w:pStyle w:val="Prrafodelista"/>
        <w:numPr>
          <w:ilvl w:val="0"/>
          <w:numId w:val="3"/>
        </w:numPr>
      </w:pPr>
      <w:r>
        <w:t>Hacer clic en el botón "Empezar" para que empiece una simulación automática. En este modo de ejecución irán avanzando las generaciones automáticamente a una velocidad aproximada de 10 generaciones por segundo. No parará hasta que se pulse el botón "Parar" (aparecerá una vez pulsado el botón empezar).</w:t>
      </w:r>
      <w:r w:rsidR="0061483E">
        <w:t xml:space="preserve">  Cabe destacar que mientras se está ejecutando de esta manera, también se puede modificar el estado de las Casillas haciendo clic en ellas.</w:t>
      </w:r>
    </w:p>
    <w:p w:rsidR="0061483E" w:rsidRDefault="0061483E" w:rsidP="0061483E">
      <w:r>
        <w:tab/>
      </w:r>
    </w:p>
    <w:p w:rsidR="0061483E" w:rsidRDefault="0061483E" w:rsidP="0061483E">
      <w:r>
        <w:tab/>
        <w:t>Para acabar, indicar que en el contador que se sitúa en la esquina inferior derecha aparecerá el numero de la generación en la que nos encontramos actualmente.</w:t>
      </w:r>
    </w:p>
    <w:p w:rsidR="0061483E" w:rsidRDefault="0061483E" w:rsidP="0061483E"/>
    <w:p w:rsidR="0061483E" w:rsidRDefault="0061483E" w:rsidP="0061483E"/>
    <w:p w:rsidR="0061483E" w:rsidRPr="00D84FAF" w:rsidRDefault="0061483E" w:rsidP="0061483E">
      <w:r>
        <w:tab/>
      </w:r>
    </w:p>
    <w:sectPr w:rsidR="0061483E" w:rsidRPr="00D84FAF" w:rsidSect="002121E6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7A7" w:rsidRDefault="00E177A7" w:rsidP="005766B2">
      <w:pPr>
        <w:spacing w:after="0" w:line="240" w:lineRule="auto"/>
      </w:pPr>
      <w:r>
        <w:separator/>
      </w:r>
    </w:p>
  </w:endnote>
  <w:endnote w:type="continuationSeparator" w:id="0">
    <w:p w:rsidR="00E177A7" w:rsidRDefault="00E177A7" w:rsidP="0057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5766B2">
      <w:tc>
        <w:tcPr>
          <w:tcW w:w="918" w:type="dxa"/>
        </w:tcPr>
        <w:p w:rsidR="005766B2" w:rsidRDefault="005766B2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61483E" w:rsidRPr="0061483E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5766B2" w:rsidRDefault="005766B2">
          <w:pPr>
            <w:pStyle w:val="Piedepgina"/>
          </w:pPr>
        </w:p>
      </w:tc>
    </w:tr>
  </w:tbl>
  <w:p w:rsidR="005766B2" w:rsidRDefault="005766B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7A7" w:rsidRDefault="00E177A7" w:rsidP="005766B2">
      <w:pPr>
        <w:spacing w:after="0" w:line="240" w:lineRule="auto"/>
      </w:pPr>
      <w:r>
        <w:separator/>
      </w:r>
    </w:p>
  </w:footnote>
  <w:footnote w:type="continuationSeparator" w:id="0">
    <w:p w:rsidR="00E177A7" w:rsidRDefault="00E177A7" w:rsidP="00576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71C1E"/>
    <w:multiLevelType w:val="hybridMultilevel"/>
    <w:tmpl w:val="DC149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65793"/>
    <w:multiLevelType w:val="hybridMultilevel"/>
    <w:tmpl w:val="E9724C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507F2"/>
    <w:multiLevelType w:val="hybridMultilevel"/>
    <w:tmpl w:val="8796177A"/>
    <w:lvl w:ilvl="0" w:tplc="FD5E81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66B2"/>
    <w:rsid w:val="002121E6"/>
    <w:rsid w:val="005766B2"/>
    <w:rsid w:val="0061483E"/>
    <w:rsid w:val="00A54E60"/>
    <w:rsid w:val="00AC5E58"/>
    <w:rsid w:val="00D84FAF"/>
    <w:rsid w:val="00E177A7"/>
    <w:rsid w:val="00EC3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1E6"/>
  </w:style>
  <w:style w:type="paragraph" w:styleId="Ttulo1">
    <w:name w:val="heading 1"/>
    <w:basedOn w:val="Normal"/>
    <w:next w:val="Normal"/>
    <w:link w:val="Ttulo1Car"/>
    <w:uiPriority w:val="9"/>
    <w:qFormat/>
    <w:rsid w:val="00576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766B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766B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766B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6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66B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76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66B2"/>
  </w:style>
  <w:style w:type="paragraph" w:styleId="Piedepgina">
    <w:name w:val="footer"/>
    <w:basedOn w:val="Normal"/>
    <w:link w:val="PiedepginaCar"/>
    <w:uiPriority w:val="99"/>
    <w:unhideWhenUsed/>
    <w:rsid w:val="00576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6B2"/>
  </w:style>
  <w:style w:type="paragraph" w:styleId="NormalWeb">
    <w:name w:val="Normal (Web)"/>
    <w:basedOn w:val="Normal"/>
    <w:uiPriority w:val="99"/>
    <w:semiHidden/>
    <w:unhideWhenUsed/>
    <w:rsid w:val="00576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766B2"/>
  </w:style>
  <w:style w:type="paragraph" w:styleId="Prrafodelista">
    <w:name w:val="List Paragraph"/>
    <w:basedOn w:val="Normal"/>
    <w:uiPriority w:val="34"/>
    <w:qFormat/>
    <w:rsid w:val="00D84F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C5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2639">
          <w:blockQuote w:val="1"/>
          <w:marLeft w:val="600"/>
          <w:marRight w:val="600"/>
          <w:marTop w:val="330"/>
          <w:marBottom w:val="330"/>
          <w:divBdr>
            <w:top w:val="none" w:sz="0" w:space="0" w:color="auto"/>
            <w:left w:val="none" w:sz="0" w:space="31" w:color="auto"/>
            <w:bottom w:val="none" w:sz="0" w:space="0" w:color="auto"/>
            <w:right w:val="none" w:sz="0" w:space="3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40CC3-C343-4F8C-AE05-DD426A95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Alvarez</dc:creator>
  <cp:keywords/>
  <dc:description/>
  <cp:lastModifiedBy>Pedro Alvarez</cp:lastModifiedBy>
  <cp:revision>3</cp:revision>
  <cp:lastPrinted>2012-01-18T16:40:00Z</cp:lastPrinted>
  <dcterms:created xsi:type="dcterms:W3CDTF">2012-01-18T15:52:00Z</dcterms:created>
  <dcterms:modified xsi:type="dcterms:W3CDTF">2012-01-18T16:40:00Z</dcterms:modified>
</cp:coreProperties>
</file>