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LiveKit Multicloud Voice Architecture</w:t>
      </w:r>
    </w:p>
    <w:p>
      <w:pPr>
        <w:pStyle w:val="Heading2"/>
      </w:pPr>
      <w:r>
        <w:t xml:space="preserve">Data Transfer Specification and System Requirements</w:t>
      </w:r>
    </w:p>
    <w:p>
      <w:r>
        <w:t xml:space="preserve">Companion to LiveKit_Multicloud_Architecture_FULL.drawio (six views) and LiveKit_Architecture_Technical_Reference.docx. This document adds hop-by-hop payload detail and a formal requirements baseline.</w:t>
      </w:r>
    </w:p>
    <w:p/>
    <w:p>
      <w:pPr>
        <w:pStyle w:val="Heading1"/>
      </w:pPr>
      <w:r>
        <w:t xml:space="preserve">1. Purpose</w:t>
      </w:r>
    </w:p>
    <w:p>
      <w:r>
        <w:t xml:space="preserve">The architecture decision and six diagram views establish who owns the conversation and how skills are reused. This document answers two follow-on questions raised in review: exactly what data moves across each boundary and in what shape, and what the system must do and guarantee — stated as testable requirements rather than narrative description.</w:t>
      </w:r>
    </w:p>
    <w:p/>
    <w:p>
      <w:r>
        <w:t xml:space="preserve">Field names below are illustrative and based on each platform's public API documentation as of this baseline (12 Sep 2026). Verify exact field names, required scopes and version-specific behavior against the deployed API version before implementation — CX, Lex and A2A all version their contracts independently of this document.</w:t>
      </w:r>
    </w:p>
    <w:p/>
    <w:p>
      <w:pPr>
        <w:pStyle w:val="Heading1"/>
      </w:pPr>
      <w:r>
        <w:t xml:space="preserve">2. Data transfer specification — hop by hop</w:t>
      </w:r>
    </w:p>
    <w:p>
      <w:r>
        <w:t xml:space="preserve">Each hop below corresponds to a labeled edge in View 02 (protocol boundaries) and View 04 (call sequence). Numbering matches the 8-step call behavior in the technical reference.</w:t>
      </w:r>
    </w:p>
    <w:p/>
    <w:p>
      <w:pPr>
        <w:pStyle w:val="Heading2"/>
      </w:pPr>
      <w:r>
        <w:t xml:space="preserve">2.1 Caller → LiveKit (media ingress)</w:t>
      </w:r>
    </w:p>
    <w:p>
      <w:pPr>
        <w:pStyle w:val="ListParagraph"/>
        <w:numPr>
          <w:ilvl w:val="0"/>
          <w:numId w:val="1"/>
        </w:numPr>
      </w:pPr>
      <w:r>
        <w:t xml:space="preserve">Phone: SIP/TLS signalling to LiveKit SIP; RTP or SRTP media, carrier-dependent.</w:t>
      </w:r>
    </w:p>
    <w:p>
      <w:pPr>
        <w:pStyle w:val="ListParagraph"/>
        <w:numPr>
          <w:ilvl w:val="0"/>
          <w:numId w:val="1"/>
        </w:numPr>
      </w:pPr>
      <w:r>
        <w:t xml:space="preserve">Browser: WSS signalling + WebRTC media over DTLS-SRTP.</w:t>
      </w:r>
    </w:p>
    <w:p>
      <w:pPr>
        <w:pStyle w:val="ListParagraph"/>
        <w:numPr>
          <w:ilvl w:val="0"/>
          <w:numId w:val="1"/>
        </w:numPr>
      </w:pPr>
      <w:r>
        <w:t xml:space="preserve">Codec: Opus, typically 48kHz, negotiated by the media layer; sample rate/codec adapted per participant.</w:t>
      </w:r>
    </w:p>
    <w:p>
      <w:r>
        <w:t xml:space="preserve">No structured payload at this hop — raw encrypted media only. This is the only hop carrying audio in transit outside the room.</w:t>
      </w:r>
    </w:p>
    <w:p/>
    <w:p>
      <w:pPr>
        <w:pStyle w:val="Heading2"/>
      </w:pPr>
      <w:r>
        <w:t xml:space="preserve">2.2 LiveKit room → Agent worker (RoomIO)</w:t>
      </w:r>
    </w:p>
    <w:p>
      <w:r>
        <w:t xml:space="preserve">The worker subscribes to the caller's audio track as a room participant. RoomIO delivers decoded PCM frames to the agent process in-memory — this is a local hand-off inside the worker, not a network call.</w:t>
      </w:r>
    </w:p>
    <w:p/>
    <w:p>
      <w:pPr>
        <w:pStyle w:val="Heading2"/>
      </w:pPr>
      <w:r>
        <w:t xml:space="preserve">2.3 Agent → STT provider</w:t>
      </w:r>
    </w:p>
    <w:p>
      <w:r>
        <w:t xml:space="preserve">Streaming audio frames out; incremental transcript events back. Illustrative event shape: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"type": "transcript",</w:t>
            </w:r>
          </w:p>
          <w:p>
            <w:pPr>
              <w:spacing w:after="0"/>
            </w:pPr>
            <w:r>
              <w:rPr>
                <w:rFonts w:ascii="Consolas" w:cs="Consolas" w:eastAsia="Consolas" w:hAnsi="Consolas"/>
                <w:sz w:val="18"/>
                <w:szCs w:val="18"/>
              </w:rPr>
              <w:t xml:space="preserve">  "is_final": false,</w:t>
            </w:r>
          </w:p>
          <w:p>
            <w:pPr>
              <w:spacing w:after="0"/>
            </w:pPr>
            <w:r>
              <w:rPr>
                <w:rFonts w:ascii="Consolas" w:cs="Consolas" w:eastAsia="Consolas" w:hAnsi="Consolas"/>
                <w:sz w:val="18"/>
                <w:szCs w:val="18"/>
              </w:rPr>
              <w:t xml:space="preserve">  "text": "check my claim status and",</w:t>
            </w:r>
          </w:p>
          <w:p>
            <w:pPr>
              <w:spacing w:after="0"/>
            </w:pPr>
            <w:r>
              <w:rPr>
                <w:rFonts w:ascii="Consolas" w:cs="Consolas" w:eastAsia="Consolas" w:hAnsi="Consolas"/>
                <w:sz w:val="18"/>
                <w:szCs w:val="18"/>
              </w:rPr>
              <w:t xml:space="preserve">  "confidence": 0.91,</w:t>
            </w:r>
          </w:p>
          <w:p>
            <w:pPr>
              <w:spacing w:after="0"/>
            </w:pPr>
            <w:r>
              <w:rPr>
                <w:rFonts w:ascii="Consolas" w:cs="Consolas" w:eastAsia="Consolas" w:hAnsi="Consolas"/>
                <w:sz w:val="18"/>
                <w:szCs w:val="18"/>
              </w:rPr>
              <w:t xml:space="preserve">  "turn_id": "turn_0143"</w:t>
            </w:r>
          </w:p>
          <w:p>
            <w:pPr>
              <w:spacing w:after="0"/>
            </w:pPr>
            <w:r>
              <w:rPr>
                <w:rFonts w:ascii="Consolas" w:cs="Consolas" w:eastAsia="Consolas" w:hAnsi="Consolas"/>
                <w:sz w:val="18"/>
                <w:szCs w:val="18"/>
              </w:rPr>
              <w:t xml:space="preserve">}</w:t>
            </w:r>
          </w:p>
        </w:tc>
      </w:tr>
    </w:tbl>
    <w:p>
      <w:r>
        <w:t xml:space="preserve">The application, not the STT provider, decides when a turn is complete (VAD + turn-end policy per View 02).</w:t>
      </w:r>
    </w:p>
    <w:p/>
    <w:p>
      <w:pPr>
        <w:pStyle w:val="Heading2"/>
      </w:pPr>
      <w:r>
        <w:t xml:space="preserve">2.4 Agent → SkillPort (invoke)</w:t>
      </w:r>
    </w:p>
    <w:p>
      <w:r>
        <w:t xml:space="preserve">Internal application contract — independent of backend protocol (View 03). This is the shape the Skill router constructs before any adapter is chosen: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"operation": "invoke",</w:t>
            </w:r>
          </w:p>
          <w:p>
            <w:pPr>
              <w:spacing w:after="0"/>
            </w:pPr>
            <w:r>
              <w:rPr>
                <w:rFonts w:ascii="Consolas" w:cs="Consolas" w:eastAsia="Consolas" w:hAnsi="Consolas"/>
                <w:sz w:val="18"/>
                <w:szCs w:val="18"/>
              </w:rPr>
              <w:t xml:space="preserve">  "skill": "claim_lookup",</w:t>
            </w:r>
          </w:p>
          <w:p>
            <w:pPr>
              <w:spacing w:after="0"/>
            </w:pPr>
            <w:r>
              <w:rPr>
                <w:rFonts w:ascii="Consolas" w:cs="Consolas" w:eastAsia="Consolas" w:hAnsi="Consolas"/>
                <w:sz w:val="18"/>
                <w:szCs w:val="18"/>
              </w:rPr>
              <w:t xml:space="preserve">  "skill_version": "1.2",</w:t>
            </w:r>
          </w:p>
          <w:p>
            <w:pPr>
              <w:spacing w:after="0"/>
            </w:pPr>
            <w:r>
              <w:rPr>
                <w:rFonts w:ascii="Consolas" w:cs="Consolas" w:eastAsia="Consolas" w:hAnsi="Consolas"/>
                <w:sz w:val="18"/>
                <w:szCs w:val="18"/>
              </w:rPr>
              <w:t xml:space="preserve">  "parameters": { "claim_id": null },</w:t>
            </w:r>
          </w:p>
          <w:p>
            <w:pPr>
              <w:spacing w:after="0"/>
            </w:pPr>
            <w:r>
              <w:rPr>
                <w:rFonts w:ascii="Consolas" w:cs="Consolas" w:eastAsia="Consolas" w:hAnsi="Consolas"/>
                <w:sz w:val="18"/>
                <w:szCs w:val="18"/>
              </w:rPr>
              <w:t xml:space="preserve">  "context_ref": "call_9F21:workflow_claim",</w:t>
            </w:r>
          </w:p>
          <w:p>
            <w:pPr>
              <w:spacing w:after="0"/>
            </w:pPr>
            <w:r>
              <w:rPr>
                <w:rFonts w:ascii="Consolas" w:cs="Consolas" w:eastAsia="Consolas" w:hAnsi="Consolas"/>
                <w:sz w:val="18"/>
                <w:szCs w:val="18"/>
              </w:rPr>
              <w:t xml:space="preserve">  "call_id": "call_9F21",</w:t>
            </w:r>
          </w:p>
          <w:p>
            <w:pPr>
              <w:spacing w:after="0"/>
            </w:pPr>
            <w:r>
              <w:rPr>
                <w:rFonts w:ascii="Consolas" w:cs="Consolas" w:eastAsia="Consolas" w:hAnsi="Consolas"/>
                <w:sz w:val="18"/>
                <w:szCs w:val="18"/>
              </w:rPr>
              <w:t xml:space="preserve">  "turn_id": "turn_0143",</w:t>
            </w:r>
          </w:p>
          <w:p>
            <w:pPr>
              <w:spacing w:after="0"/>
            </w:pPr>
            <w:r>
              <w:rPr>
                <w:rFonts w:ascii="Consolas" w:cs="Consolas" w:eastAsia="Consolas" w:hAnsi="Consolas"/>
                <w:sz w:val="18"/>
                <w:szCs w:val="18"/>
              </w:rPr>
              <w:t xml:space="preserve">  "request_id": "req_88f3",</w:t>
            </w:r>
          </w:p>
          <w:p>
            <w:pPr>
              <w:spacing w:after="0"/>
            </w:pPr>
            <w:r>
              <w:rPr>
                <w:rFonts w:ascii="Consolas" w:cs="Consolas" w:eastAsia="Consolas" w:hAnsi="Consolas"/>
                <w:sz w:val="18"/>
                <w:szCs w:val="18"/>
              </w:rPr>
              <w:t xml:space="preserve">  "deadline_ms": 3000,</w:t>
            </w:r>
          </w:p>
          <w:p>
            <w:pPr>
              <w:spacing w:after="0"/>
            </w:pPr>
            <w:r>
              <w:rPr>
                <w:rFonts w:ascii="Consolas" w:cs="Consolas" w:eastAsia="Consolas" w:hAnsi="Consolas"/>
                <w:sz w:val="18"/>
                <w:szCs w:val="18"/>
              </w:rPr>
              <w:t xml:space="preserve">  "idempotency_key": "req_88f3"</w:t>
            </w:r>
          </w:p>
          <w:p>
            <w:pPr>
              <w:spacing w:after="0"/>
            </w:pPr>
            <w:r>
              <w:rPr>
                <w:rFonts w:ascii="Consolas" w:cs="Consolas" w:eastAsia="Consolas" w:hAnsi="Consolas"/>
                <w:sz w:val="18"/>
                <w:szCs w:val="18"/>
              </w:rPr>
              <w:t xml:space="preserve">}</w:t>
            </w:r>
          </w:p>
        </w:tc>
      </w:tr>
    </w:tbl>
    <w:p>
      <w:r>
        <w:t xml:space="preserve">SkillPort outputs one of five internal outcomes — COMPLETED, NEEDS_INPUT, WORKING, FAILED, CANCELLED — which are internal states, not wire-level constants from any backend.</w:t>
      </w:r>
    </w:p>
    <w:p/>
    <w:p>
      <w:pPr>
        <w:pStyle w:val="Heading2"/>
      </w:pPr>
      <w:r>
        <w:t xml:space="preserve">2.5a SkillPort → CX adapter → Dialogflow CX</w:t>
      </w:r>
    </w:p>
    <w:p>
      <w:r>
        <w:t xml:space="preserve">Transport: gRPC/TLS or REST/HTTPS, Google application credentials or workload identity, scoped IAM (not a generic API key). Illustrative detectIntent 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"session": "projects/{p}/locations/{l}/agents/{a}/sessions/call_9F21",</w:t>
            </w:r>
          </w:p>
          <w:p>
            <w:pPr>
              <w:spacing w:after="0"/>
            </w:pPr>
            <w:r>
              <w:rPr>
                <w:rFonts w:ascii="Consolas" w:cs="Consolas" w:eastAsia="Consolas" w:hAnsi="Consolas"/>
                <w:sz w:val="18"/>
                <w:szCs w:val="18"/>
              </w:rPr>
              <w:t xml:space="preserve">  "queryInput": {</w:t>
            </w:r>
          </w:p>
          <w:p>
            <w:pPr>
              <w:spacing w:after="0"/>
            </w:pPr>
            <w:r>
              <w:rPr>
                <w:rFonts w:ascii="Consolas" w:cs="Consolas" w:eastAsia="Consolas" w:hAnsi="Consolas"/>
                <w:sz w:val="18"/>
                <w:szCs w:val="18"/>
              </w:rPr>
              <w:t xml:space="preserve">    "text": { "text": "check my claim status" },</w:t>
            </w:r>
          </w:p>
          <w:p>
            <w:pPr>
              <w:spacing w:after="0"/>
            </w:pPr>
            <w:r>
              <w:rPr>
                <w:rFonts w:ascii="Consolas" w:cs="Consolas" w:eastAsia="Consolas" w:hAnsi="Consolas"/>
                <w:sz w:val="18"/>
                <w:szCs w:val="18"/>
              </w:rPr>
              <w:t xml:space="preserve">    "languageCode": "en-US"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r>
        <w:t xml:space="preserve">Illustrative response, showing the clarification path used in View 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"queryResult": {</w:t>
            </w:r>
          </w:p>
          <w:p>
            <w:pPr>
              <w:spacing w:after="0"/>
            </w:pPr>
            <w:r>
              <w:rPr>
                <w:rFonts w:ascii="Consolas" w:cs="Consolas" w:eastAsia="Consolas" w:hAnsi="Consolas"/>
                <w:sz w:val="18"/>
                <w:szCs w:val="18"/>
              </w:rPr>
              <w:t xml:space="preserve">    "responseMessages": [{ "text": { "text": ["Which claim ID?"] } }],</w:t>
            </w:r>
          </w:p>
          <w:p>
            <w:pPr>
              <w:spacing w:after="0"/>
            </w:pPr>
            <w:r>
              <w:rPr>
                <w:rFonts w:ascii="Consolas" w:cs="Consolas" w:eastAsia="Consolas" w:hAnsi="Consolas"/>
                <w:sz w:val="18"/>
                <w:szCs w:val="18"/>
              </w:rPr>
              <w:t xml:space="preserve">    "parameters": { "claim_id": null },</w:t>
            </w:r>
          </w:p>
          <w:p>
            <w:pPr>
              <w:spacing w:after="0"/>
            </w:pPr>
            <w:r>
              <w:rPr>
                <w:rFonts w:ascii="Consolas" w:cs="Consolas" w:eastAsia="Consolas" w:hAnsi="Consolas"/>
                <w:sz w:val="18"/>
                <w:szCs w:val="18"/>
              </w:rPr>
              <w:t xml:space="preserve">    "currentPage": "projects/.../pages/CollectClaimId"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r>
        <w:t xml:space="preserve">The CX adapter maps this into the SkillPort NEEDS_INPUT outcome, carrying the prompt text as continuation data.</w:t>
      </w:r>
    </w:p>
    <w:p/>
    <w:p>
      <w:pPr>
        <w:pStyle w:val="Heading2"/>
      </w:pPr>
      <w:r>
        <w:t xml:space="preserve">2.5b SkillPort → Lex adapter → Amazon Lex V2</w:t>
      </w:r>
    </w:p>
    <w:p>
      <w:r>
        <w:t xml:space="preserve">Transport: HTTPS, signed with AWS SigV4 (not gRPC). Illustrative RecognizeText 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"botId": "XXXXXXXXXX",</w:t>
            </w:r>
          </w:p>
          <w:p>
            <w:pPr>
              <w:spacing w:after="0"/>
            </w:pPr>
            <w:r>
              <w:rPr>
                <w:rFonts w:ascii="Consolas" w:cs="Consolas" w:eastAsia="Consolas" w:hAnsi="Consolas"/>
                <w:sz w:val="18"/>
                <w:szCs w:val="18"/>
              </w:rPr>
              <w:t xml:space="preserve">  "botAliasId": "PROD",</w:t>
            </w:r>
          </w:p>
          <w:p>
            <w:pPr>
              <w:spacing w:after="0"/>
            </w:pPr>
            <w:r>
              <w:rPr>
                <w:rFonts w:ascii="Consolas" w:cs="Consolas" w:eastAsia="Consolas" w:hAnsi="Consolas"/>
                <w:sz w:val="18"/>
                <w:szCs w:val="18"/>
              </w:rPr>
              <w:t xml:space="preserve">  "localeId": "en_US",</w:t>
            </w:r>
          </w:p>
          <w:p>
            <w:pPr>
              <w:spacing w:after="0"/>
            </w:pPr>
            <w:r>
              <w:rPr>
                <w:rFonts w:ascii="Consolas" w:cs="Consolas" w:eastAsia="Consolas" w:hAnsi="Consolas"/>
                <w:sz w:val="18"/>
                <w:szCs w:val="18"/>
              </w:rPr>
              <w:t xml:space="preserve">  "sessionId": "call_9F21:benefit",</w:t>
            </w:r>
          </w:p>
          <w:p>
            <w:pPr>
              <w:spacing w:after="0"/>
            </w:pPr>
            <w:r>
              <w:rPr>
                <w:rFonts w:ascii="Consolas" w:cs="Consolas" w:eastAsia="Consolas" w:hAnsi="Consolas"/>
                <w:sz w:val="18"/>
                <w:szCs w:val="18"/>
              </w:rPr>
              <w:t xml:space="preserve">  "text": "benefit details"</w:t>
            </w:r>
          </w:p>
          <w:p>
            <w:pPr>
              <w:spacing w:after="0"/>
            </w:pPr>
            <w:r>
              <w:rPr>
                <w:rFonts w:ascii="Consolas" w:cs="Consolas" w:eastAsia="Consolas" w:hAnsi="Consolas"/>
                <w:sz w:val="18"/>
                <w:szCs w:val="18"/>
              </w:rPr>
              <w:t xml:space="preserve">}</w:t>
            </w:r>
          </w:p>
        </w:tc>
      </w:tr>
    </w:tbl>
    <w:p>
      <w:r>
        <w:t xml:space="preserve">Illustrative response: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"sessionState": {</w:t>
            </w:r>
          </w:p>
          <w:p>
            <w:pPr>
              <w:spacing w:after="0"/>
            </w:pPr>
            <w:r>
              <w:rPr>
                <w:rFonts w:ascii="Consolas" w:cs="Consolas" w:eastAsia="Consolas" w:hAnsi="Consolas"/>
                <w:sz w:val="18"/>
                <w:szCs w:val="18"/>
              </w:rPr>
              <w:t xml:space="preserve">    "intent": { "name": "GetBenefitDetails", "state": "Fulfilled" },</w:t>
            </w:r>
          </w:p>
          <w:p>
            <w:pPr>
              <w:spacing w:after="0"/>
            </w:pPr>
            <w:r>
              <w:rPr>
                <w:rFonts w:ascii="Consolas" w:cs="Consolas" w:eastAsia="Consolas" w:hAnsi="Consolas"/>
                <w:sz w:val="18"/>
                <w:szCs w:val="18"/>
              </w:rPr>
              <w:t xml:space="preserve">    "sessionAttributes": { "claimId": "12345"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"messages": [{ "contentType": "PlainText", "content": "Your benefit is active." }]</w:t>
            </w:r>
          </w:p>
          <w:p>
            <w:pPr>
              <w:spacing w:after="0"/>
            </w:pPr>
            <w:r>
              <w:rPr>
                <w:rFonts w:ascii="Consolas" w:cs="Consolas" w:eastAsia="Consolas" w:hAnsi="Consolas"/>
                <w:sz w:val="18"/>
                <w:szCs w:val="18"/>
              </w:rPr>
              <w:t xml:space="preserve">}</w:t>
            </w:r>
          </w:p>
        </w:tc>
      </w:tr>
    </w:tbl>
    <w:p/>
    <w:p>
      <w:pPr>
        <w:pStyle w:val="Heading2"/>
      </w:pPr>
      <w:r>
        <w:t xml:space="preserve">2.5c SkillPort → A2A adapter → A2A agent service</w:t>
      </w:r>
    </w:p>
    <w:p>
      <w:r>
        <w:t xml:space="preserve">Transport: HTTPS, JSON-RPC per the A2A specification. Discovery uses an approved Agent Card; capability, version and auth binding are validated before first use and cached outside the turn. Illustrative task invocation: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"jsonrpc": "2.0",</w:t>
            </w:r>
          </w:p>
          <w:p>
            <w:pPr>
              <w:spacing w:after="0"/>
            </w:pPr>
            <w:r>
              <w:rPr>
                <w:rFonts w:ascii="Consolas" w:cs="Consolas" w:eastAsia="Consolas" w:hAnsi="Consolas"/>
                <w:sz w:val="18"/>
                <w:szCs w:val="18"/>
              </w:rPr>
              <w:t xml:space="preserve">  "method": "message/send",</w:t>
            </w:r>
          </w:p>
          <w:p>
            <w:pPr>
              <w:spacing w:after="0"/>
            </w:pPr>
            <w:r>
              <w:rPr>
                <w:rFonts w:ascii="Consolas" w:cs="Consolas" w:eastAsia="Consolas" w:hAnsi="Consolas"/>
                <w:sz w:val="18"/>
                <w:szCs w:val="18"/>
              </w:rPr>
              <w:t xml:space="preserve">  "params": {</w:t>
            </w:r>
          </w:p>
          <w:p>
            <w:pPr>
              <w:spacing w:after="0"/>
            </w:pPr>
            <w:r>
              <w:rPr>
                <w:rFonts w:ascii="Consolas" w:cs="Consolas" w:eastAsia="Consolas" w:hAnsi="Consolas"/>
                <w:sz w:val="18"/>
                <w:szCs w:val="18"/>
              </w:rPr>
              <w:t xml:space="preserve">    "message": {</w:t>
            </w:r>
          </w:p>
          <w:p>
            <w:pPr>
              <w:spacing w:after="0"/>
            </w:pPr>
            <w:r>
              <w:rPr>
                <w:rFonts w:ascii="Consolas" w:cs="Consolas" w:eastAsia="Consolas" w:hAnsi="Consolas"/>
                <w:sz w:val="18"/>
                <w:szCs w:val="18"/>
              </w:rPr>
              <w:t xml:space="preserve">      "role": "user",</w:t>
            </w:r>
          </w:p>
          <w:p>
            <w:pPr>
              <w:spacing w:after="0"/>
            </w:pPr>
            <w:r>
              <w:rPr>
                <w:rFonts w:ascii="Consolas" w:cs="Consolas" w:eastAsia="Consolas" w:hAnsi="Consolas"/>
                <w:sz w:val="18"/>
                <w:szCs w:val="18"/>
              </w:rPr>
              <w:t xml:space="preserve">      "parts": [{ "type": "text", "text": "lookup order 1001"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"id": "req_88f3"</w:t>
            </w:r>
          </w:p>
          <w:p>
            <w:pPr>
              <w:spacing w:after="0"/>
            </w:pPr>
            <w:r>
              <w:rPr>
                <w:rFonts w:ascii="Consolas" w:cs="Consolas" w:eastAsia="Consolas" w:hAnsi="Consolas"/>
                <w:sz w:val="18"/>
                <w:szCs w:val="18"/>
              </w:rPr>
              <w:t xml:space="preserve">}</w:t>
            </w:r>
          </w:p>
        </w:tc>
      </w:tr>
    </w:tbl>
    <w:p>
      <w:r>
        <w:t xml:space="preserve">A2A task states (submitted, working, input-required, completed, failed, cancelled) are mapped by the adapter onto the same internal SkillPort outcomes used for CX and Lex, so the Skill router never branches on which backend protocol answered.</w:t>
      </w:r>
    </w:p>
    <w:p/>
    <w:p>
      <w:pPr>
        <w:pStyle w:val="Heading2"/>
      </w:pPr>
      <w:r>
        <w:t xml:space="preserve">2.6 Result → Agent → TTS provider → LiveKit room → Caller</w:t>
      </w:r>
    </w:p>
    <w:p>
      <w:r>
        <w:t xml:space="preserve">Validated reply text goes to the TTS provider, which streams synthesized audio back to the agent; RoomIO publishes it as an outgoing audio track; the LiveKit room forwards it to the caller. Barge-in (View 05) can interrupt this stream mid-playback; interruption is a media decision separate from cancelling the underlying business task.</w:t>
      </w:r>
    </w:p>
    <w:p/>
    <w:p>
      <w:pPr>
        <w:pStyle w:val="Heading2"/>
      </w:pPr>
      <w:r>
        <w:t xml:space="preserve">2.7 Telemetry → OpenTelemetry collector</w:t>
      </w:r>
    </w:p>
    <w:p>
      <w:r>
        <w:t xml:space="preserve">Every hop above emits a span correlated by call_id, turn_id, skill and request_id. Illustrative span attributes: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"trace_id": "4bf92f3577b34da6a3ce929d0e0e4736",</w:t>
            </w:r>
          </w:p>
          <w:p>
            <w:pPr>
              <w:spacing w:after="0"/>
            </w:pPr>
            <w:r>
              <w:rPr>
                <w:rFonts w:ascii="Consolas" w:cs="Consolas" w:eastAsia="Consolas" w:hAnsi="Consolas"/>
                <w:sz w:val="18"/>
                <w:szCs w:val="18"/>
              </w:rPr>
              <w:t xml:space="preserve">  "call_id": "call_9F21",</w:t>
            </w:r>
          </w:p>
          <w:p>
            <w:pPr>
              <w:spacing w:after="0"/>
            </w:pPr>
            <w:r>
              <w:rPr>
                <w:rFonts w:ascii="Consolas" w:cs="Consolas" w:eastAsia="Consolas" w:hAnsi="Consolas"/>
                <w:sz w:val="18"/>
                <w:szCs w:val="18"/>
              </w:rPr>
              <w:t xml:space="preserve">  "turn_id": "turn_0143",</w:t>
            </w:r>
          </w:p>
          <w:p>
            <w:pPr>
              <w:spacing w:after="0"/>
            </w:pPr>
            <w:r>
              <w:rPr>
                <w:rFonts w:ascii="Consolas" w:cs="Consolas" w:eastAsia="Consolas" w:hAnsi="Consolas"/>
                <w:sz w:val="18"/>
                <w:szCs w:val="18"/>
              </w:rPr>
              <w:t xml:space="preserve">  "skill": "claim_lookup",</w:t>
            </w:r>
          </w:p>
          <w:p>
            <w:pPr>
              <w:spacing w:after="0"/>
            </w:pPr>
            <w:r>
              <w:rPr>
                <w:rFonts w:ascii="Consolas" w:cs="Consolas" w:eastAsia="Consolas" w:hAnsi="Consolas"/>
                <w:sz w:val="18"/>
                <w:szCs w:val="18"/>
              </w:rPr>
              <w:t xml:space="preserve">  "backend": "dialogflow_cx",</w:t>
            </w:r>
          </w:p>
          <w:p>
            <w:pPr>
              <w:spacing w:after="0"/>
            </w:pPr>
            <w:r>
              <w:rPr>
                <w:rFonts w:ascii="Consolas" w:cs="Consolas" w:eastAsia="Consolas" w:hAnsi="Consolas"/>
                <w:sz w:val="18"/>
                <w:szCs w:val="18"/>
              </w:rPr>
              <w:t xml:space="preserve">  "outcome": "NEEDS_INPUT",</w:t>
            </w:r>
          </w:p>
          <w:p>
            <w:pPr>
              <w:spacing w:after="0"/>
            </w:pPr>
            <w:r>
              <w:rPr>
                <w:rFonts w:ascii="Consolas" w:cs="Consolas" w:eastAsia="Consolas" w:hAnsi="Consolas"/>
                <w:sz w:val="18"/>
                <w:szCs w:val="18"/>
              </w:rPr>
              <w:t xml:space="preserve">  "latency_ms": 412</w:t>
            </w:r>
          </w:p>
          <w:p>
            <w:pPr>
              <w:spacing w:after="0"/>
            </w:pPr>
            <w:r>
              <w:rPr>
                <w:rFonts w:ascii="Consolas" w:cs="Consolas" w:eastAsia="Consolas" w:hAnsi="Consolas"/>
                <w:sz w:val="18"/>
                <w:szCs w:val="18"/>
              </w:rPr>
              <w:t xml:space="preserve">}</w:t>
            </w:r>
          </w:p>
        </w:tc>
      </w:tr>
    </w:tbl>
    <w:p>
      <w:r>
        <w:t xml:space="preserve">Sensitive call content (raw transcript text, claim/order identifiers) is excluded from telemetry per the operations policy in the technical reference; only correlation IDs and outcome/latency metadata are exported.</w:t>
      </w:r>
    </w:p>
    <w:p/>
    <w:p>
      <w:pPr>
        <w:pStyle w:val="Heading1"/>
      </w:pPr>
      <w:r>
        <w:t xml:space="preserve">3. System requirements</w:t>
      </w:r>
    </w:p>
    <w:p>
      <w:r>
        <w:t xml:space="preserve">Stated as testable requirements, grouped functional and non-functional, each traceable to a diagram view.</w:t>
      </w:r>
    </w:p>
    <w:p/>
    <w:p>
      <w:pPr>
        <w:pStyle w:val="Heading2"/>
      </w:pPr>
      <w:r>
        <w:t xml:space="preserve">3.1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D9D9D9" w:val="clear"/>
          </w:tcPr>
          <w:p>
            <w:r>
              <w:rPr>
                <w:b/>
                <w:bCs/>
              </w:rPr>
              <w:t xml:space="preserve">ID</w:t>
            </w:r>
          </w:p>
        </w:tc>
        <w:tc>
          <w:tcPr>
            <w:tcW w:type="dxa" w:w="6650"/>
            <w:shd w:fill="D9D9D9" w:val="clear"/>
          </w:tcPr>
          <w:p>
            <w:r>
              <w:rPr>
                <w:b/>
                <w:bCs/>
              </w:rPr>
              <w:t xml:space="preserve">Requirement</w:t>
            </w:r>
          </w:p>
        </w:tc>
        <w:tc>
          <w:tcPr>
            <w:tcW w:type="dxa" w:w="1500"/>
            <w:shd w:fill="D9D9D9" w:val="clear"/>
          </w:tcPr>
          <w:p>
            <w:r>
              <w:rPr>
                <w:b/>
                <w:bCs/>
              </w:rPr>
              <w:t xml:space="preserve">View</w:t>
            </w:r>
          </w:p>
        </w:tc>
      </w:tr>
      <w:tr>
        <w:tc>
          <w:tcPr>
            <w:tcW w:type="dxa" w:w="1200"/>
          </w:tcPr>
          <w:p>
            <w:r>
              <w:t xml:space="preserve">FR-1</w:t>
            </w:r>
          </w:p>
        </w:tc>
        <w:tc>
          <w:tcPr>
            <w:tcW w:type="dxa" w:w="6650"/>
          </w:tcPr>
          <w:p>
            <w:r>
              <w:t xml:space="preserve">The application shall admit both PSTN (SIP) and browser (WebRTC) callers into a common room-based session.</w:t>
            </w:r>
          </w:p>
        </w:tc>
        <w:tc>
          <w:tcPr>
            <w:tcW w:type="dxa" w:w="1500"/>
          </w:tcPr>
          <w:p>
            <w:r>
              <w:t xml:space="preserve">View 02</w:t>
            </w:r>
          </w:p>
        </w:tc>
      </w:tr>
      <w:tr>
        <w:tc>
          <w:tcPr>
            <w:tcW w:type="dxa" w:w="1200"/>
          </w:tcPr>
          <w:p>
            <w:r>
              <w:t xml:space="preserve">FR-2</w:t>
            </w:r>
          </w:p>
        </w:tc>
        <w:tc>
          <w:tcPr>
            <w:tcW w:type="dxa" w:w="6650"/>
          </w:tcPr>
          <w:p>
            <w:r>
              <w:t xml:space="preserve">The application shall transcribe caller speech and determine turn boundaries before invoking any skill.</w:t>
            </w:r>
          </w:p>
        </w:tc>
        <w:tc>
          <w:tcPr>
            <w:tcW w:type="dxa" w:w="1500"/>
          </w:tcPr>
          <w:p>
            <w:r>
              <w:t xml:space="preserve">View 02</w:t>
            </w:r>
          </w:p>
        </w:tc>
      </w:tr>
      <w:tr>
        <w:tc>
          <w:tcPr>
            <w:tcW w:type="dxa" w:w="1200"/>
          </w:tcPr>
          <w:p>
            <w:r>
              <w:t xml:space="preserve">FR-3</w:t>
            </w:r>
          </w:p>
        </w:tc>
        <w:tc>
          <w:tcPr>
            <w:tcW w:type="dxa" w:w="6650"/>
          </w:tcPr>
          <w:p>
            <w:r>
              <w:t xml:space="preserve">The application shall select an approved skill based on detected intent and validate required parameters before invocation.</w:t>
            </w:r>
          </w:p>
        </w:tc>
        <w:tc>
          <w:tcPr>
            <w:tcW w:type="dxa" w:w="1500"/>
          </w:tcPr>
          <w:p>
            <w:r>
              <w:t xml:space="preserve">View 03</w:t>
            </w:r>
          </w:p>
        </w:tc>
      </w:tr>
      <w:tr>
        <w:tc>
          <w:tcPr>
            <w:tcW w:type="dxa" w:w="1200"/>
          </w:tcPr>
          <w:p>
            <w:r>
              <w:t xml:space="preserve">FR-4</w:t>
            </w:r>
          </w:p>
        </w:tc>
        <w:tc>
          <w:tcPr>
            <w:tcW w:type="dxa" w:w="6650"/>
          </w:tcPr>
          <w:p>
            <w:r>
              <w:t xml:space="preserve">The application shall support Dialogflow CX, Amazon Lex V2, and A2A-compliant agents as interchangeable skill backends behind a common contract.</w:t>
            </w:r>
          </w:p>
        </w:tc>
        <w:tc>
          <w:tcPr>
            <w:tcW w:type="dxa" w:w="1500"/>
          </w:tcPr>
          <w:p>
            <w:r>
              <w:t xml:space="preserve">View 03</w:t>
            </w:r>
          </w:p>
        </w:tc>
      </w:tr>
      <w:tr>
        <w:tc>
          <w:tcPr>
            <w:tcW w:type="dxa" w:w="1200"/>
          </w:tcPr>
          <w:p>
            <w:r>
              <w:t xml:space="preserve">FR-5</w:t>
            </w:r>
          </w:p>
        </w:tc>
        <w:tc>
          <w:tcPr>
            <w:tcW w:type="dxa" w:w="6650"/>
          </w:tcPr>
          <w:p>
            <w:r>
              <w:t xml:space="preserve">The application shall preserve a skill's mid-workflow state (NEEDS_INPUT) and resume the same backend session after caller clarification.</w:t>
            </w:r>
          </w:p>
        </w:tc>
        <w:tc>
          <w:tcPr>
            <w:tcW w:type="dxa" w:w="1500"/>
          </w:tcPr>
          <w:p>
            <w:r>
              <w:t xml:space="preserve">View 04</w:t>
            </w:r>
          </w:p>
        </w:tc>
      </w:tr>
      <w:tr>
        <w:tc>
          <w:tcPr>
            <w:tcW w:type="dxa" w:w="1200"/>
          </w:tcPr>
          <w:p>
            <w:r>
              <w:t xml:space="preserve">FR-6</w:t>
            </w:r>
          </w:p>
        </w:tc>
        <w:tc>
          <w:tcPr>
            <w:tcW w:type="dxa" w:w="6650"/>
          </w:tcPr>
          <w:p>
            <w:r>
              <w:t xml:space="preserve">The application shall support invoking a second, independent skill within the same call and combining both results before speaking a single reply.</w:t>
            </w:r>
          </w:p>
        </w:tc>
        <w:tc>
          <w:tcPr>
            <w:tcW w:type="dxa" w:w="1500"/>
          </w:tcPr>
          <w:p>
            <w:r>
              <w:t xml:space="preserve">View 04</w:t>
            </w:r>
          </w:p>
        </w:tc>
      </w:tr>
      <w:tr>
        <w:tc>
          <w:tcPr>
            <w:tcW w:type="dxa" w:w="1200"/>
          </w:tcPr>
          <w:p>
            <w:r>
              <w:t xml:space="preserve">FR-7</w:t>
            </w:r>
          </w:p>
        </w:tc>
        <w:tc>
          <w:tcPr>
            <w:tcW w:type="dxa" w:w="6650"/>
          </w:tcPr>
          <w:p>
            <w:r>
              <w:t xml:space="preserve">The application shall synthesize and play back the combined response through the LiveKit room; CX/Lex native audio output shall not be used.</w:t>
            </w:r>
          </w:p>
        </w:tc>
        <w:tc>
          <w:tcPr>
            <w:tcW w:type="dxa" w:w="1500"/>
          </w:tcPr>
          <w:p>
            <w:r>
              <w:t xml:space="preserve">View 02</w:t>
            </w:r>
          </w:p>
        </w:tc>
      </w:tr>
      <w:tr>
        <w:tc>
          <w:tcPr>
            <w:tcW w:type="dxa" w:w="1200"/>
          </w:tcPr>
          <w:p>
            <w:r>
              <w:t xml:space="preserve">FR-8</w:t>
            </w:r>
          </w:p>
        </w:tc>
        <w:tc>
          <w:tcPr>
            <w:tcW w:type="dxa" w:w="6650"/>
          </w:tcPr>
          <w:p>
            <w:r>
              <w:t xml:space="preserve">The application shall support caller interruption (barge-in) of agent speech at any point during playback.</w:t>
            </w:r>
          </w:p>
        </w:tc>
        <w:tc>
          <w:tcPr>
            <w:tcW w:type="dxa" w:w="1500"/>
          </w:tcPr>
          <w:p>
            <w:r>
              <w:t xml:space="preserve">View 05</w:t>
            </w:r>
          </w:p>
        </w:tc>
      </w:tr>
      <w:tr>
        <w:tc>
          <w:tcPr>
            <w:tcW w:type="dxa" w:w="1200"/>
          </w:tcPr>
          <w:p>
            <w:r>
              <w:t xml:space="preserve">FR-9</w:t>
            </w:r>
          </w:p>
        </w:tc>
        <w:tc>
          <w:tcPr>
            <w:tcW w:type="dxa" w:w="6650"/>
          </w:tcPr>
          <w:p>
            <w:r>
              <w:t xml:space="preserve">The application shall escalate to a human agent on explicit caller request or when retry/confidence thresholds are exceeded, transferring a permitted context summary.</w:t>
            </w:r>
          </w:p>
        </w:tc>
        <w:tc>
          <w:tcPr>
            <w:tcW w:type="dxa" w:w="1500"/>
          </w:tcPr>
          <w:p>
            <w:r>
              <w:t xml:space="preserve">View 05</w:t>
            </w:r>
          </w:p>
        </w:tc>
      </w:tr>
      <w:tr>
        <w:tc>
          <w:tcPr>
            <w:tcW w:type="dxa" w:w="1200"/>
          </w:tcPr>
          <w:p>
            <w:r>
              <w:t xml:space="preserve">FR-10</w:t>
            </w:r>
          </w:p>
        </w:tc>
        <w:tc>
          <w:tcPr>
            <w:tcW w:type="dxa" w:w="6650"/>
          </w:tcPr>
          <w:p>
            <w:r>
              <w:t xml:space="preserve">The application shall reject or suppress any backend response that belongs to an obsolete (superseded) turn.</w:t>
            </w:r>
          </w:p>
        </w:tc>
        <w:tc>
          <w:tcPr>
            <w:tcW w:type="dxa" w:w="1500"/>
          </w:tcPr>
          <w:p>
            <w:r>
              <w:t xml:space="preserve">View 05</w:t>
            </w:r>
          </w:p>
        </w:tc>
      </w:tr>
    </w:tbl>
    <w:p/>
    <w:p>
      <w:pPr>
        <w:pStyle w:val="Heading2"/>
      </w:pPr>
      <w:r>
        <w:t xml:space="preserve">3.2 Non-functional requirements</w:t>
      </w:r>
    </w:p>
    <w:p>
      <w:pPr>
        <w:pStyle w:val="Heading3"/>
      </w:pPr>
      <w:r>
        <w:t xml:space="preserve">Performance and latency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D9D9D9" w:val="clear"/>
          </w:tcPr>
          <w:p>
            <w:r>
              <w:rPr>
                <w:b/>
                <w:bCs/>
              </w:rPr>
              <w:t xml:space="preserve">ID</w:t>
            </w:r>
          </w:p>
        </w:tc>
        <w:tc>
          <w:tcPr>
            <w:tcW w:type="dxa" w:w="6650"/>
            <w:shd w:fill="D9D9D9" w:val="clear"/>
          </w:tcPr>
          <w:p>
            <w:r>
              <w:rPr>
                <w:b/>
                <w:bCs/>
              </w:rPr>
              <w:t xml:space="preserve">Requirement</w:t>
            </w:r>
          </w:p>
        </w:tc>
        <w:tc>
          <w:tcPr>
            <w:tcW w:type="dxa" w:w="1500"/>
            <w:shd w:fill="D9D9D9" w:val="clear"/>
          </w:tcPr>
          <w:p>
            <w:r>
              <w:rPr>
                <w:b/>
                <w:bCs/>
              </w:rPr>
              <w:t xml:space="preserve">View</w:t>
            </w:r>
          </w:p>
        </w:tc>
      </w:tr>
      <w:tr>
        <w:tc>
          <w:tcPr>
            <w:tcW w:type="dxa" w:w="1200"/>
          </w:tcPr>
          <w:p>
            <w:r>
              <w:t xml:space="preserve">NFR-1</w:t>
            </w:r>
          </w:p>
        </w:tc>
        <w:tc>
          <w:tcPr>
            <w:tcW w:type="dxa" w:w="6650"/>
          </w:tcPr>
          <w:p>
            <w:r>
              <w:t xml:space="preserve">End-to-end turn latency (speech-end to first response audio) for a fast lookup skill is targeted at under 3 seconds; this is a proposed goal pending measurement, not a guaranteed result.</w:t>
            </w:r>
          </w:p>
        </w:tc>
        <w:tc>
          <w:tcPr>
            <w:tcW w:type="dxa" w:w="1500"/>
          </w:tcPr>
          <w:p>
            <w:r>
              <w:t xml:space="preserve">View 04</w:t>
            </w:r>
          </w:p>
        </w:tc>
      </w:tr>
      <w:tr>
        <w:tc>
          <w:tcPr>
            <w:tcW w:type="dxa" w:w="1200"/>
          </w:tcPr>
          <w:p>
            <w:r>
              <w:t xml:space="preserve">NFR-2</w:t>
            </w:r>
          </w:p>
        </w:tc>
        <w:tc>
          <w:tcPr>
            <w:tcW w:type="dxa" w:w="6650"/>
          </w:tcPr>
          <w:p>
            <w:r>
              <w:t xml:space="preserve">Turn detection, transcription, routing, skill execution, synthesis and transport shall each be independently measured and traced (p50/p95), not only end to end.</w:t>
            </w:r>
          </w:p>
        </w:tc>
        <w:tc>
          <w:tcPr>
            <w:tcW w:type="dxa" w:w="1500"/>
          </w:tcPr>
          <w:p>
            <w:r>
              <w:t xml:space="preserve">View 06</w:t>
            </w:r>
          </w:p>
        </w:tc>
      </w:tr>
      <w:tr>
        <w:tc>
          <w:tcPr>
            <w:tcW w:type="dxa" w:w="1200"/>
          </w:tcPr>
          <w:p>
            <w:r>
              <w:t xml:space="preserve">NFR-3</w:t>
            </w:r>
          </w:p>
        </w:tc>
        <w:tc>
          <w:tcPr>
            <w:tcW w:type="dxa" w:w="6650"/>
          </w:tcPr>
          <w:p>
            <w:r>
              <w:t xml:space="preserve">Long-running skill tasks exceeding the call budget shall trigger an agreed wait message, a supported follow-up, or handoff — never a silent timeout.</w:t>
            </w:r>
          </w:p>
        </w:tc>
        <w:tc>
          <w:tcPr>
            <w:tcW w:type="dxa" w:w="1500"/>
          </w:tcPr>
          <w:p>
            <w:r>
              <w:t xml:space="preserve">View 05</w:t>
            </w:r>
          </w:p>
        </w:tc>
      </w:tr>
    </w:tbl>
    <w:p/>
    <w:p>
      <w:pPr>
        <w:pStyle w:val="Heading3"/>
      </w:pPr>
      <w:r>
        <w:t xml:space="preserve">Security and authentication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D9D9D9" w:val="clear"/>
          </w:tcPr>
          <w:p>
            <w:r>
              <w:rPr>
                <w:b/>
                <w:bCs/>
              </w:rPr>
              <w:t xml:space="preserve">ID</w:t>
            </w:r>
          </w:p>
        </w:tc>
        <w:tc>
          <w:tcPr>
            <w:tcW w:type="dxa" w:w="6650"/>
            <w:shd w:fill="D9D9D9" w:val="clear"/>
          </w:tcPr>
          <w:p>
            <w:r>
              <w:rPr>
                <w:b/>
                <w:bCs/>
              </w:rPr>
              <w:t xml:space="preserve">Requirement</w:t>
            </w:r>
          </w:p>
        </w:tc>
        <w:tc>
          <w:tcPr>
            <w:tcW w:type="dxa" w:w="1500"/>
            <w:shd w:fill="D9D9D9" w:val="clear"/>
          </w:tcPr>
          <w:p>
            <w:r>
              <w:rPr>
                <w:b/>
                <w:bCs/>
              </w:rPr>
              <w:t xml:space="preserve">View</w:t>
            </w:r>
          </w:p>
        </w:tc>
      </w:tr>
      <w:tr>
        <w:tc>
          <w:tcPr>
            <w:tcW w:type="dxa" w:w="1200"/>
          </w:tcPr>
          <w:p>
            <w:r>
              <w:t xml:space="preserve">NFR-4</w:t>
            </w:r>
          </w:p>
        </w:tc>
        <w:tc>
          <w:tcPr>
            <w:tcW w:type="dxa" w:w="6650"/>
          </w:tcPr>
          <w:p>
            <w:r>
              <w:t xml:space="preserve">All backend credentials (Google workload identity, AWS IAM/SigV4, A2A auth) shall remain server-side and shall never be exposed to the client SDK.</w:t>
            </w:r>
          </w:p>
        </w:tc>
        <w:tc>
          <w:tcPr>
            <w:tcW w:type="dxa" w:w="1500"/>
          </w:tcPr>
          <w:p>
            <w:r>
              <w:t xml:space="preserve">View 06</w:t>
            </w:r>
          </w:p>
        </w:tc>
      </w:tr>
      <w:tr>
        <w:tc>
          <w:tcPr>
            <w:tcW w:type="dxa" w:w="1200"/>
          </w:tcPr>
          <w:p>
            <w:r>
              <w:t xml:space="preserve">NFR-5</w:t>
            </w:r>
          </w:p>
        </w:tc>
        <w:tc>
          <w:tcPr>
            <w:tcW w:type="dxa" w:w="6650"/>
          </w:tcPr>
          <w:p>
            <w:r>
              <w:t xml:space="preserve">LiveKit client tokens issued to browser participants shall be scoped to the minimum required room/participant grants.</w:t>
            </w:r>
          </w:p>
        </w:tc>
        <w:tc>
          <w:tcPr>
            <w:tcW w:type="dxa" w:w="1500"/>
          </w:tcPr>
          <w:p>
            <w:r>
              <w:t xml:space="preserve">View 06</w:t>
            </w:r>
          </w:p>
        </w:tc>
      </w:tr>
      <w:tr>
        <w:tc>
          <w:tcPr>
            <w:tcW w:type="dxa" w:w="1200"/>
          </w:tcPr>
          <w:p>
            <w:r>
              <w:t xml:space="preserve">NFR-6</w:t>
            </w:r>
          </w:p>
        </w:tc>
        <w:tc>
          <w:tcPr>
            <w:tcW w:type="dxa" w:w="6650"/>
          </w:tcPr>
          <w:p>
            <w:r>
              <w:t xml:space="preserve">Every outbound skill/adapter endpoint shall be allowlisted; no dynamically-discovered endpoint shall be called without validation against an approved registry or card.</w:t>
            </w:r>
          </w:p>
        </w:tc>
        <w:tc>
          <w:tcPr>
            <w:tcW w:type="dxa" w:w="1500"/>
          </w:tcPr>
          <w:p>
            <w:r>
              <w:t xml:space="preserve">View 03</w:t>
            </w:r>
          </w:p>
        </w:tc>
      </w:tr>
      <w:tr>
        <w:tc>
          <w:tcPr>
            <w:tcW w:type="dxa" w:w="1200"/>
          </w:tcPr>
          <w:p>
            <w:r>
              <w:t xml:space="preserve">NFR-7</w:t>
            </w:r>
          </w:p>
        </w:tc>
        <w:tc>
          <w:tcPr>
            <w:tcW w:type="dxa" w:w="6650"/>
          </w:tcPr>
          <w:p>
            <w:r>
              <w:t xml:space="preserve">Authentication of the application to a backend shall not be treated as authorization of the caller — caller identity/access checks are a separate, explicit step.</w:t>
            </w:r>
          </w:p>
        </w:tc>
        <w:tc>
          <w:tcPr>
            <w:tcW w:type="dxa" w:w="1500"/>
          </w:tcPr>
          <w:p>
            <w:r>
              <w:t xml:space="preserve">View 06</w:t>
            </w:r>
          </w:p>
        </w:tc>
      </w:tr>
    </w:tbl>
    <w:p/>
    <w:p>
      <w:pPr>
        <w:pStyle w:val="Heading3"/>
      </w:pPr>
      <w:r>
        <w:t xml:space="preserve">Reliability and data integrity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D9D9D9" w:val="clear"/>
          </w:tcPr>
          <w:p>
            <w:r>
              <w:rPr>
                <w:b/>
                <w:bCs/>
              </w:rPr>
              <w:t xml:space="preserve">ID</w:t>
            </w:r>
          </w:p>
        </w:tc>
        <w:tc>
          <w:tcPr>
            <w:tcW w:type="dxa" w:w="6650"/>
            <w:shd w:fill="D9D9D9" w:val="clear"/>
          </w:tcPr>
          <w:p>
            <w:r>
              <w:rPr>
                <w:b/>
                <w:bCs/>
              </w:rPr>
              <w:t xml:space="preserve">Requirement</w:t>
            </w:r>
          </w:p>
        </w:tc>
        <w:tc>
          <w:tcPr>
            <w:tcW w:type="dxa" w:w="1500"/>
            <w:shd w:fill="D9D9D9" w:val="clear"/>
          </w:tcPr>
          <w:p>
            <w:r>
              <w:rPr>
                <w:b/>
                <w:bCs/>
              </w:rPr>
              <w:t xml:space="preserve">View</w:t>
            </w:r>
          </w:p>
        </w:tc>
      </w:tr>
      <w:tr>
        <w:tc>
          <w:tcPr>
            <w:tcW w:type="dxa" w:w="1200"/>
          </w:tcPr>
          <w:p>
            <w:r>
              <w:t xml:space="preserve">NFR-8</w:t>
            </w:r>
          </w:p>
        </w:tc>
        <w:tc>
          <w:tcPr>
            <w:tcW w:type="dxa" w:w="6650"/>
          </w:tcPr>
          <w:p>
            <w:r>
              <w:t xml:space="preserve">Retries shall be bounded to classified-transient failures only; retried writes shall carry an idempotency key.</w:t>
            </w:r>
          </w:p>
        </w:tc>
        <w:tc>
          <w:tcPr>
            <w:tcW w:type="dxa" w:w="1500"/>
          </w:tcPr>
          <w:p>
            <w:r>
              <w:t xml:space="preserve">View 05</w:t>
            </w:r>
          </w:p>
        </w:tc>
      </w:tr>
      <w:tr>
        <w:tc>
          <w:tcPr>
            <w:tcW w:type="dxa" w:w="1200"/>
          </w:tcPr>
          <w:p>
            <w:r>
              <w:t xml:space="preserve">NFR-9</w:t>
            </w:r>
          </w:p>
        </w:tc>
        <w:tc>
          <w:tcPr>
            <w:tcW w:type="dxa" w:w="6650"/>
          </w:tcPr>
          <w:p>
            <w:r>
              <w:t xml:space="preserve">An unknown-outcome write (e.g. timeout after a possible commit) shall never be blindly replayed; it shall be reconciled before any further action on that skill/session.</w:t>
            </w:r>
          </w:p>
        </w:tc>
        <w:tc>
          <w:tcPr>
            <w:tcW w:type="dxa" w:w="1500"/>
          </w:tcPr>
          <w:p>
            <w:r>
              <w:t xml:space="preserve">View 05</w:t>
            </w:r>
          </w:p>
        </w:tc>
      </w:tr>
      <w:tr>
        <w:tc>
          <w:tcPr>
            <w:tcW w:type="dxa" w:w="1200"/>
          </w:tcPr>
          <w:p>
            <w:r>
              <w:t xml:space="preserve">NFR-10</w:t>
            </w:r>
          </w:p>
        </w:tc>
        <w:tc>
          <w:tcPr>
            <w:tcW w:type="dxa" w:w="6650"/>
          </w:tcPr>
          <w:p>
            <w:r>
              <w:t xml:space="preserve">Distinct caller sessions shall never share backend bot state; the call-to-backend-session key mapping shall be unique per call/skill/workflow instance.</w:t>
            </w:r>
          </w:p>
        </w:tc>
        <w:tc>
          <w:tcPr>
            <w:tcW w:type="dxa" w:w="1500"/>
          </w:tcPr>
          <w:p>
            <w:r>
              <w:t xml:space="preserve">View 04</w:t>
            </w:r>
          </w:p>
        </w:tc>
      </w:tr>
    </w:tbl>
    <w:p/>
    <w:p>
      <w:pPr>
        <w:pStyle w:val="Heading3"/>
      </w:pPr>
      <w:r>
        <w:t xml:space="preserve">Scalability and operations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D9D9D9" w:val="clear"/>
          </w:tcPr>
          <w:p>
            <w:r>
              <w:rPr>
                <w:b/>
                <w:bCs/>
              </w:rPr>
              <w:t xml:space="preserve">ID</w:t>
            </w:r>
          </w:p>
        </w:tc>
        <w:tc>
          <w:tcPr>
            <w:tcW w:type="dxa" w:w="6650"/>
            <w:shd w:fill="D9D9D9" w:val="clear"/>
          </w:tcPr>
          <w:p>
            <w:r>
              <w:rPr>
                <w:b/>
                <w:bCs/>
              </w:rPr>
              <w:t xml:space="preserve">Requirement</w:t>
            </w:r>
          </w:p>
        </w:tc>
        <w:tc>
          <w:tcPr>
            <w:tcW w:type="dxa" w:w="1500"/>
            <w:shd w:fill="D9D9D9" w:val="clear"/>
          </w:tcPr>
          <w:p>
            <w:r>
              <w:rPr>
                <w:b/>
                <w:bCs/>
              </w:rPr>
              <w:t xml:space="preserve">View</w:t>
            </w:r>
          </w:p>
        </w:tc>
      </w:tr>
      <w:tr>
        <w:tc>
          <w:tcPr>
            <w:tcW w:type="dxa" w:w="1200"/>
          </w:tcPr>
          <w:p>
            <w:r>
              <w:t xml:space="preserve">NFR-11</w:t>
            </w:r>
          </w:p>
        </w:tc>
        <w:tc>
          <w:tcPr>
            <w:tcW w:type="dxa" w:w="6650"/>
          </w:tcPr>
          <w:p>
            <w:r>
              <w:t xml:space="preserve">Agent workers shall scale on active-call count and shall drain (finish active calls, stop accepting new ones) during replacement/deployment.</w:t>
            </w:r>
          </w:p>
        </w:tc>
        <w:tc>
          <w:tcPr>
            <w:tcW w:type="dxa" w:w="1500"/>
          </w:tcPr>
          <w:p>
            <w:r>
              <w:t xml:space="preserve">View 06</w:t>
            </w:r>
          </w:p>
        </w:tc>
      </w:tr>
      <w:tr>
        <w:tc>
          <w:tcPr>
            <w:tcW w:type="dxa" w:w="1200"/>
          </w:tcPr>
          <w:p>
            <w:r>
              <w:t xml:space="preserve">NFR-12</w:t>
            </w:r>
          </w:p>
        </w:tc>
        <w:tc>
          <w:tcPr>
            <w:tcW w:type="dxa" w:w="6650"/>
          </w:tcPr>
          <w:p>
            <w:r>
              <w:t xml:space="preserve">Every call, turn, skill and backend task ID shall be correlated end to end and exported via OpenTelemetry (OTLP).</w:t>
            </w:r>
          </w:p>
        </w:tc>
        <w:tc>
          <w:tcPr>
            <w:tcW w:type="dxa" w:w="1500"/>
          </w:tcPr>
          <w:p>
            <w:r>
              <w:t xml:space="preserve">View 06</w:t>
            </w:r>
          </w:p>
        </w:tc>
      </w:tr>
      <w:tr>
        <w:tc>
          <w:tcPr>
            <w:tcW w:type="dxa" w:w="1200"/>
          </w:tcPr>
          <w:p>
            <w:r>
              <w:t xml:space="preserve">NFR-13</w:t>
            </w:r>
          </w:p>
        </w:tc>
        <w:tc>
          <w:tcPr>
            <w:tcW w:type="dxa" w:w="6650"/>
          </w:tcPr>
          <w:p>
            <w:r>
              <w:t xml:space="preserve">Telemetry shall exclude sensitive call content (raw transcript, identifiers); only correlation IDs, outcomes and latency/cost metadata are exported.</w:t>
            </w:r>
          </w:p>
        </w:tc>
        <w:tc>
          <w:tcPr>
            <w:tcW w:type="dxa" w:w="1500"/>
          </w:tcPr>
          <w:p>
            <w:r>
              <w:t xml:space="preserve">View 06</w:t>
            </w:r>
          </w:p>
        </w:tc>
      </w:tr>
    </w:tbl>
    <w:p/>
    <w:p>
      <w:pPr>
        <w:pStyle w:val="Heading3"/>
      </w:pPr>
      <w:r>
        <w:t xml:space="preserve">Compliance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D9D9D9" w:val="clear"/>
          </w:tcPr>
          <w:p>
            <w:r>
              <w:rPr>
                <w:b/>
                <w:bCs/>
              </w:rPr>
              <w:t xml:space="preserve">ID</w:t>
            </w:r>
          </w:p>
        </w:tc>
        <w:tc>
          <w:tcPr>
            <w:tcW w:type="dxa" w:w="6650"/>
            <w:shd w:fill="D9D9D9" w:val="clear"/>
          </w:tcPr>
          <w:p>
            <w:r>
              <w:rPr>
                <w:b/>
                <w:bCs/>
              </w:rPr>
              <w:t xml:space="preserve">Requirement</w:t>
            </w:r>
          </w:p>
        </w:tc>
        <w:tc>
          <w:tcPr>
            <w:tcW w:type="dxa" w:w="1500"/>
            <w:shd w:fill="D9D9D9" w:val="clear"/>
          </w:tcPr>
          <w:p>
            <w:r>
              <w:rPr>
                <w:b/>
                <w:bCs/>
              </w:rPr>
              <w:t xml:space="preserve">View</w:t>
            </w:r>
          </w:p>
        </w:tc>
      </w:tr>
      <w:tr>
        <w:tc>
          <w:tcPr>
            <w:tcW w:type="dxa" w:w="1200"/>
          </w:tcPr>
          <w:p>
            <w:r>
              <w:t xml:space="preserve">NFR-14</w:t>
            </w:r>
          </w:p>
        </w:tc>
        <w:tc>
          <w:tcPr>
            <w:tcW w:type="dxa" w:w="6650"/>
          </w:tcPr>
          <w:p>
            <w:r>
              <w:t xml:space="preserve">Call recording and transcript retention shall comply with applicable state/regional consent requirements before any customer-facing deployment.</w:t>
            </w:r>
          </w:p>
        </w:tc>
        <w:tc>
          <w:tcPr>
            <w:tcW w:type="dxa" w:w="1500"/>
          </w:tcPr>
          <w:p>
            <w:r>
              <w:t xml:space="preserve">View 01</w:t>
            </w:r>
          </w:p>
        </w:tc>
      </w:tr>
      <w:tr>
        <w:tc>
          <w:tcPr>
            <w:tcW w:type="dxa" w:w="1200"/>
          </w:tcPr>
          <w:p>
            <w:r>
              <w:t xml:space="preserve">NFR-15</w:t>
            </w:r>
          </w:p>
        </w:tc>
        <w:tc>
          <w:tcPr>
            <w:tcW w:type="dxa" w:w="6650"/>
          </w:tcPr>
          <w:p>
            <w:r>
              <w:t xml:space="preserve">Any coverage, eligibility, or similar determination shall be produced by an authoritative rule or backend service — the language model shall not infer such determinations.</w:t>
            </w:r>
          </w:p>
        </w:tc>
        <w:tc>
          <w:tcPr>
            <w:tcW w:type="dxa" w:w="1500"/>
          </w:tcPr>
          <w:p>
            <w:r>
              <w:t xml:space="preserve">View 04</w:t>
            </w:r>
          </w:p>
        </w:tc>
      </w:tr>
    </w:tbl>
    <w:p/>
    <w:p>
      <w:pPr>
        <w:pStyle w:val="Heading1"/>
      </w:pPr>
      <w:r>
        <w:t xml:space="preserve">4. Open items affecting these requirements</w:t>
      </w:r>
    </w:p>
    <w:p>
      <w:pPr>
        <w:pStyle w:val="ListParagraph"/>
        <w:numPr>
          <w:ilvl w:val="0"/>
          <w:numId w:val="1"/>
        </w:numPr>
      </w:pPr>
      <w:r>
        <w:t xml:space="preserve">NFR-1's 3-second target is unverified against real cloud latency — tracked as an open decision in the technical reference (Section 6).</w:t>
      </w:r>
    </w:p>
    <w:p>
      <w:pPr>
        <w:pStyle w:val="ListParagraph"/>
        <w:numPr>
          <w:ilvl w:val="0"/>
          <w:numId w:val="1"/>
        </w:numPr>
      </w:pPr>
      <w:r>
        <w:t xml:space="preserve">NFR-11 hosting placement (managed vs self-hosted LiveKit, worker region) is marked TBD pending the hosting decision.</w:t>
      </w:r>
    </w:p>
    <w:p>
      <w:pPr>
        <w:pStyle w:val="ListParagraph"/>
        <w:numPr>
          <w:ilvl w:val="0"/>
          <w:numId w:val="1"/>
        </w:numPr>
      </w:pPr>
      <w:r>
        <w:t xml:space="preserve">FR-9's human handoff mechanism (desktop room-join vs warm SIP transfer) is marked TBD pending vendor selection.</w:t>
      </w:r>
    </w:p>
    <w:p>
      <w:pPr>
        <w:pStyle w:val="ListParagraph"/>
        <w:numPr>
          <w:ilvl w:val="0"/>
          <w:numId w:val="1"/>
        </w:numPr>
      </w:pPr>
      <w:r>
        <w:t xml:space="preserve">A2A requirements (FR-4, 2.5c) assume a compatible Agent Card exists for any bot exposed this way — native support must be verified per bot, not assumed.</w:t>
      </w:r>
    </w:p>
    <w:p/>
    <w:p>
      <w:r>
        <w:t xml:space="preserve">This document, the six-view .drawio package, and the architecture technical reference together form the complete design baseline. None of the three establishes that the real cloud voice path, human handoff, or the specific skills listed here have passed an end-to-end test — that evidence remains outstanding per Section 6 of the technical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2026-09-12T19:46:25.898Z</dcterms:created>
  <dcterms:modified xsi:type="dcterms:W3CDTF">2026-09-12T19:46:25.898Z</dcterms:modified>
</cp:coreProperties>
</file>

<file path=docProps/custom.xml><?xml version="1.0" encoding="utf-8"?>
<Properties xmlns="http://schemas.openxmlformats.org/officeDocument/2006/custom-properties" xmlns:vt="http://schemas.openxmlformats.org/officeDocument/2006/docPropsVTypes"/>
</file>