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Voice AI Architecture Proposal</w:t>
      </w:r>
    </w:p>
    <w:p>
      <w:pPr>
        <w:pStyle w:val="Heading2"/>
      </w:pPr>
      <w:r>
        <w:t xml:space="preserve">How it works, high-level design, low-level design, and every option considered</w:t>
      </w:r>
    </w:p>
    <w:p/>
    <w:p>
      <w:pPr>
        <w:pStyle w:val="Heading1"/>
      </w:pPr>
      <w:r>
        <w:t xml:space="preserve">Part 1 — How it works, in plain terms</w:t>
      </w:r>
    </w:p>
    <w:p>
      <w:r>
        <w:t xml:space="preserve">Think of the system as three layers stacked on top of each other. Nothing more complex is happening underneath — every technical detail later in this document is just a more precise version of these three layers.</w:t>
      </w:r>
    </w:p>
    <w:p/>
    <w:p>
      <w:pPr>
        <w:pStyle w:val="Heading2"/>
      </w:pPr>
      <w:r>
        <w:t xml:space="preserve">Layer 1: getting the call's audio in and out</w:t>
      </w:r>
    </w:p>
    <w:p>
      <w:r>
        <w:t xml:space="preserve">A caller dials in on a phone or opens a browser tab. Either way, their voice ends up as an audio stream inside a LiveKit “room” — a shared real-time session, the same concept LiveKit uses for any video call. LiveKit's only job here is plumbing: it does not understand what the caller is saying. It just moves audio in both directions reliably and in real time.</w:t>
      </w:r>
    </w:p>
    <w:p/>
    <w:p>
      <w:pPr>
        <w:pStyle w:val="Heading2"/>
      </w:pPr>
      <w:r>
        <w:t xml:space="preserve">Layer 2: understanding and deciding</w:t>
      </w:r>
    </w:p>
    <w:p>
      <w:r>
        <w:t xml:space="preserve">A worker process — our own application, built with the LiveKit Agents framework — joins that room as if it were a participant. It listens to the caller's audio, converts it to text, and decides what the caller wants. This worker is the “brain” of the call: it owns the conversation, remembers context across turns, and decides which specialist to ask for help.</w:t>
      </w:r>
    </w:p>
    <w:p/>
    <w:p>
      <w:pPr>
        <w:pStyle w:val="Heading2"/>
      </w:pPr>
      <w:r>
        <w:t xml:space="preserve">Layer 3: asking specialists for help</w:t>
      </w:r>
    </w:p>
    <w:p>
      <w:r>
        <w:t xml:space="preserve">The worker doesn't try to do everything itself. For anything requiring real business logic — checking a claim, looking up an order, verifying a benefit — it delegates to an existing specialist system: Dialogflow CX, Amazon Lex, or an external A2A agent. It asks a question, waits for an answer (or a request for clarification), and keeps control of the conversation the whole time. The specialist never talks to the caller directly — it only ever talks to our worker, which decides what to actually say out loud.</w:t>
      </w:r>
    </w:p>
    <w:p/>
    <w:p>
      <w:r>
        <w:t xml:space="preserve">Put together: caller speaks → LiveKit carries the audio → our worker turns it into text and figures out intent → our worker asks the right specialist → the specialist answers or asks a follow-up → our worker turns the final answer into speech → LiveKit carries it back to the caller. Every subsequent section in this document is a closer zoom into one of those arrows.</w:t>
      </w:r>
    </w:p>
    <w:p/>
    <w:p>
      <w:pPr>
        <w:pStyle w:val="Heading1"/>
      </w:pPr>
      <w:r>
        <w:t xml:space="preserve">Part 2 — How data actually moves (summary)</w:t>
      </w:r>
    </w:p>
    <w:p>
      <w:r>
        <w:t xml:space="preserve">A condensed view of every hop. Full payload examples are in the companion document LiveKit_DataFlow_and_System_Requirements.docx — this table is the one-page version.</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50"/>
      </w:tblGrid>
      <w:tr>
        <w:tc>
          <w:tcPr>
            <w:tcW w:type="dxa" w:w="1600"/>
            <w:shd w:fill="D9D9D9" w:val="clear"/>
          </w:tcPr>
          <w:p>
            <w:r>
              <w:rPr>
                <w:b/>
                <w:bCs/>
              </w:rPr>
              <w:t xml:space="preserve">Hop</w:t>
            </w:r>
          </w:p>
        </w:tc>
        <w:tc>
          <w:tcPr>
            <w:tcW w:type="dxa" w:w="3200"/>
            <w:shd w:fill="D9D9D9" w:val="clear"/>
          </w:tcPr>
          <w:p>
            <w:r>
              <w:rPr>
                <w:b/>
                <w:bCs/>
              </w:rPr>
              <w:t xml:space="preserve">Protocol</w:t>
            </w:r>
          </w:p>
        </w:tc>
        <w:tc>
          <w:tcPr>
            <w:tcW w:type="dxa" w:w="4550"/>
            <w:shd w:fill="D9D9D9" w:val="clear"/>
          </w:tcPr>
          <w:p>
            <w:r>
              <w:rPr>
                <w:b/>
                <w:bCs/>
              </w:rPr>
              <w:t xml:space="preserve">What actually moves</w:t>
            </w:r>
          </w:p>
        </w:tc>
      </w:tr>
      <w:tr>
        <w:tc>
          <w:tcPr>
            <w:tcW w:type="dxa" w:w="1600"/>
          </w:tcPr>
          <w:p>
            <w:r>
              <w:t xml:space="preserve">Caller → LiveKit</w:t>
            </w:r>
          </w:p>
        </w:tc>
        <w:tc>
          <w:tcPr>
            <w:tcW w:type="dxa" w:w="3200"/>
          </w:tcPr>
          <w:p>
            <w:r>
              <w:t xml:space="preserve">SIP/RTP or SRTP (phone); WebRTC/DTLS-SRTP (browser)</w:t>
            </w:r>
          </w:p>
        </w:tc>
        <w:tc>
          <w:tcPr>
            <w:tcW w:type="dxa" w:w="4550"/>
          </w:tcPr>
          <w:p>
            <w:r>
              <w:t xml:space="preserve">Encrypted audio only — no structured data at this hop.</w:t>
            </w:r>
          </w:p>
        </w:tc>
      </w:tr>
      <w:tr>
        <w:tc>
          <w:tcPr>
            <w:tcW w:type="dxa" w:w="1600"/>
          </w:tcPr>
          <w:p>
            <w:r>
              <w:t xml:space="preserve">LiveKit → Worker</w:t>
            </w:r>
          </w:p>
        </w:tc>
        <w:tc>
          <w:tcPr>
            <w:tcW w:type="dxa" w:w="3200"/>
          </w:tcPr>
          <w:p>
            <w:r>
              <w:t xml:space="preserve">In-process (RoomIO)</w:t>
            </w:r>
          </w:p>
        </w:tc>
        <w:tc>
          <w:tcPr>
            <w:tcW w:type="dxa" w:w="4550"/>
          </w:tcPr>
          <w:p>
            <w:r>
              <w:t xml:space="preserve">Decoded PCM audio frames handed to the worker in memory.</w:t>
            </w:r>
          </w:p>
        </w:tc>
      </w:tr>
      <w:tr>
        <w:tc>
          <w:tcPr>
            <w:tcW w:type="dxa" w:w="1600"/>
          </w:tcPr>
          <w:p>
            <w:r>
              <w:t xml:space="preserve">Worker → STT</w:t>
            </w:r>
          </w:p>
        </w:tc>
        <w:tc>
          <w:tcPr>
            <w:tcW w:type="dxa" w:w="3200"/>
          </w:tcPr>
          <w:p>
            <w:r>
              <w:t xml:space="preserve">Streaming API (provider-specific)</w:t>
            </w:r>
          </w:p>
        </w:tc>
        <w:tc>
          <w:tcPr>
            <w:tcW w:type="dxa" w:w="4550"/>
          </w:tcPr>
          <w:p>
            <w:r>
              <w:t xml:space="preserve">Audio frames out; partial and final transcript text back.</w:t>
            </w:r>
          </w:p>
        </w:tc>
      </w:tr>
      <w:tr>
        <w:tc>
          <w:tcPr>
            <w:tcW w:type="dxa" w:w="1600"/>
          </w:tcPr>
          <w:p>
            <w:r>
              <w:t xml:space="preserve">Worker → SkillPort</w:t>
            </w:r>
          </w:p>
        </w:tc>
        <w:tc>
          <w:tcPr>
            <w:tcW w:type="dxa" w:w="3200"/>
          </w:tcPr>
          <w:p>
            <w:r>
              <w:t xml:space="preserve">In-process function call</w:t>
            </w:r>
          </w:p>
        </w:tc>
        <w:tc>
          <w:tcPr>
            <w:tcW w:type="dxa" w:w="4550"/>
          </w:tcPr>
          <w:p>
            <w:r>
              <w:t xml:space="preserve">A typed request: which skill, what parameters, deadline, request ID.</w:t>
            </w:r>
          </w:p>
        </w:tc>
      </w:tr>
      <w:tr>
        <w:tc>
          <w:tcPr>
            <w:tcW w:type="dxa" w:w="1600"/>
          </w:tcPr>
          <w:p>
            <w:r>
              <w:t xml:space="preserve">SkillPort → Dialogflow CX</w:t>
            </w:r>
          </w:p>
        </w:tc>
        <w:tc>
          <w:tcPr>
            <w:tcW w:type="dxa" w:w="3200"/>
          </w:tcPr>
          <w:p>
            <w:r>
              <w:t xml:space="preserve">gRPC/TLS or REST/HTTPS</w:t>
            </w:r>
          </w:p>
        </w:tc>
        <w:tc>
          <w:tcPr>
            <w:tcW w:type="dxa" w:w="4550"/>
          </w:tcPr>
          <w:p>
            <w:r>
              <w:t xml:space="preserve">Text + session ID out; structured intent result or a clarification prompt back.</w:t>
            </w:r>
          </w:p>
        </w:tc>
      </w:tr>
      <w:tr>
        <w:tc>
          <w:tcPr>
            <w:tcW w:type="dxa" w:w="1600"/>
          </w:tcPr>
          <w:p>
            <w:r>
              <w:t xml:space="preserve">SkillPort → Amazon Lex</w:t>
            </w:r>
          </w:p>
        </w:tc>
        <w:tc>
          <w:tcPr>
            <w:tcW w:type="dxa" w:w="3200"/>
          </w:tcPr>
          <w:p>
            <w:r>
              <w:t xml:space="preserve">HTTPS + AWS SigV4</w:t>
            </w:r>
          </w:p>
        </w:tc>
        <w:tc>
          <w:tcPr>
            <w:tcW w:type="dxa" w:w="4550"/>
          </w:tcPr>
          <w:p>
            <w:r>
              <w:t xml:space="preserve">Text + session state out; intent result or slot-filling prompt back.</w:t>
            </w:r>
          </w:p>
        </w:tc>
      </w:tr>
      <w:tr>
        <w:tc>
          <w:tcPr>
            <w:tcW w:type="dxa" w:w="1600"/>
          </w:tcPr>
          <w:p>
            <w:r>
              <w:t xml:space="preserve">SkillPort → A2A agent</w:t>
            </w:r>
          </w:p>
        </w:tc>
        <w:tc>
          <w:tcPr>
            <w:tcW w:type="dxa" w:w="3200"/>
          </w:tcPr>
          <w:p>
            <w:r>
              <w:t xml:space="preserve">HTTPS, JSON-RPC</w:t>
            </w:r>
          </w:p>
        </w:tc>
        <w:tc>
          <w:tcPr>
            <w:tcW w:type="dxa" w:w="4550"/>
          </w:tcPr>
          <w:p>
            <w:r>
              <w:t xml:space="preserve">A task request out; task status (working/input-required/completed) back.</w:t>
            </w:r>
          </w:p>
        </w:tc>
      </w:tr>
      <w:tr>
        <w:tc>
          <w:tcPr>
            <w:tcW w:type="dxa" w:w="1600"/>
          </w:tcPr>
          <w:p>
            <w:r>
              <w:t xml:space="preserve">Worker → TTS → LiveKit → Caller</w:t>
            </w:r>
          </w:p>
        </w:tc>
        <w:tc>
          <w:tcPr>
            <w:tcW w:type="dxa" w:w="3200"/>
          </w:tcPr>
          <w:p>
            <w:r>
              <w:t xml:space="preserve">Streaming API, then WebRTC/SRTP</w:t>
            </w:r>
          </w:p>
        </w:tc>
        <w:tc>
          <w:tcPr>
            <w:tcW w:type="dxa" w:w="4550"/>
          </w:tcPr>
          <w:p>
            <w:r>
              <w:t xml:space="preserve">Reply text out; synthesized audio back, published into the room.</w:t>
            </w:r>
          </w:p>
        </w:tc>
      </w:tr>
      <w:tr>
        <w:tc>
          <w:tcPr>
            <w:tcW w:type="dxa" w:w="1600"/>
          </w:tcPr>
          <w:p>
            <w:r>
              <w:t xml:space="preserve">Everywhere → Telemetry</w:t>
            </w:r>
          </w:p>
        </w:tc>
        <w:tc>
          <w:tcPr>
            <w:tcW w:type="dxa" w:w="3200"/>
          </w:tcPr>
          <w:p>
            <w:r>
              <w:t xml:space="preserve">OTLP</w:t>
            </w:r>
          </w:p>
        </w:tc>
        <w:tc>
          <w:tcPr>
            <w:tcW w:type="dxa" w:w="4550"/>
          </w:tcPr>
          <w:p>
            <w:r>
              <w:t xml:space="preserve">Correlation IDs, latency, outcome — never raw transcript content.</w:t>
            </w:r>
          </w:p>
        </w:tc>
      </w:tr>
    </w:tbl>
    <w:p/>
    <w:p>
      <w:pPr>
        <w:pStyle w:val="Heading1"/>
      </w:pPr>
      <w:r>
        <w:t xml:space="preserve">Part 3 — High-Level Design (HLD)</w:t>
      </w:r>
    </w:p>
    <w:p>
      <w:pPr>
        <w:pStyle w:val="Heading2"/>
      </w:pPr>
      <w:r>
        <w:t xml:space="preserve">3.1 Purpose</w:t>
      </w:r>
    </w:p>
    <w:p>
      <w:r>
        <w:t xml:space="preserve">Give one application ownership of the caller conversation, while continuing to use Dialogflow CX, Amazon Lex, and other specialist systems for the actual business logic they already implement. This is an orchestration layer added around existing investments, not a replacement of them.</w:t>
      </w:r>
    </w:p>
    <w:p/>
    <w:p>
      <w:pPr>
        <w:pStyle w:val="Heading2"/>
      </w:pPr>
      <w:r>
        <w:t xml:space="preserve">3.2 Architecture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9D9D9" w:val="clear"/>
          </w:tcPr>
          <w:p>
            <w:r>
              <w:rPr>
                <w:b/>
                <w:bCs/>
              </w:rPr>
              <w:t xml:space="preserve">Layer</w:t>
            </w:r>
          </w:p>
        </w:tc>
        <w:tc>
          <w:tcPr>
            <w:tcW w:type="dxa" w:w="6350"/>
            <w:shd w:fill="D9D9D9" w:val="clear"/>
          </w:tcPr>
          <w:p>
            <w:r>
              <w:rPr>
                <w:b/>
                <w:bCs/>
              </w:rPr>
              <w:t xml:space="preserve">Responsibility</w:t>
            </w:r>
          </w:p>
        </w:tc>
      </w:tr>
      <w:tr>
        <w:tc>
          <w:tcPr>
            <w:tcW w:type="dxa" w:w="3000"/>
          </w:tcPr>
          <w:p>
            <w:r>
              <w:t xml:space="preserve">Media / transport</w:t>
            </w:r>
          </w:p>
        </w:tc>
        <w:tc>
          <w:tcPr>
            <w:tcW w:type="dxa" w:w="6350"/>
          </w:tcPr>
          <w:p>
            <w:r>
              <w:t xml:space="preserve">LiveKit rooms, SIP and WebRTC ingress, real-time audio delivery.</w:t>
            </w:r>
          </w:p>
        </w:tc>
      </w:tr>
      <w:tr>
        <w:tc>
          <w:tcPr>
            <w:tcW w:type="dxa" w:w="3000"/>
          </w:tcPr>
          <w:p>
            <w:r>
              <w:t xml:space="preserve">Conversation orchestrator</w:t>
            </w:r>
          </w:p>
        </w:tc>
        <w:tc>
          <w:tcPr>
            <w:tcW w:type="dxa" w:w="6350"/>
          </w:tcPr>
          <w:p>
            <w:r>
              <w:t xml:space="preserve">LiveKit Agents application: turn ownership, intent detection, skill selection, context, escalation decisions.</w:t>
            </w:r>
          </w:p>
        </w:tc>
      </w:tr>
      <w:tr>
        <w:tc>
          <w:tcPr>
            <w:tcW w:type="dxa" w:w="3000"/>
          </w:tcPr>
          <w:p>
            <w:r>
              <w:t xml:space="preserve">Common skill interface</w:t>
            </w:r>
          </w:p>
        </w:tc>
        <w:tc>
          <w:tcPr>
            <w:tcW w:type="dxa" w:w="6350"/>
          </w:tcPr>
          <w:p>
            <w:r>
              <w:t xml:space="preserve">A stable request/result contract (“SkillPort”) the orchestrator uses regardless of which backend answers.</w:t>
            </w:r>
          </w:p>
        </w:tc>
      </w:tr>
      <w:tr>
        <w:tc>
          <w:tcPr>
            <w:tcW w:type="dxa" w:w="3000"/>
          </w:tcPr>
          <w:p>
            <w:r>
              <w:t xml:space="preserve">Protocol adapters</w:t>
            </w:r>
          </w:p>
        </w:tc>
        <w:tc>
          <w:tcPr>
            <w:tcW w:type="dxa" w:w="6350"/>
          </w:tcPr>
          <w:p>
            <w:r>
              <w:t xml:space="preserve">Translate SkillPort calls into CX detectIntent, Lex RecognizeText, A2A JSON-RPC, or direct API/MCP calls.</w:t>
            </w:r>
          </w:p>
        </w:tc>
      </w:tr>
      <w:tr>
        <w:tc>
          <w:tcPr>
            <w:tcW w:type="dxa" w:w="3000"/>
          </w:tcPr>
          <w:p>
            <w:r>
              <w:t xml:space="preserve">Existing skill backends</w:t>
            </w:r>
          </w:p>
        </w:tc>
        <w:tc>
          <w:tcPr>
            <w:tcW w:type="dxa" w:w="6350"/>
          </w:tcPr>
          <w:p>
            <w:r>
              <w:t xml:space="preserve">Dialogflow CX, Amazon Lex, A2A agents — execute delegated business logic, return results or ask for clarification.</w:t>
            </w:r>
          </w:p>
        </w:tc>
      </w:tr>
      <w:tr>
        <w:tc>
          <w:tcPr>
            <w:tcW w:type="dxa" w:w="3000"/>
          </w:tcPr>
          <w:p>
            <w:r>
              <w:t xml:space="preserve">State and telemetry</w:t>
            </w:r>
          </w:p>
        </w:tc>
        <w:tc>
          <w:tcPr>
            <w:tcW w:type="dxa" w:w="6350"/>
          </w:tcPr>
          <w:p>
            <w:r>
              <w:t xml:space="preserve">Call/session state mapping, transcript policy, and OpenTelemetry traces.</w:t>
            </w:r>
          </w:p>
        </w:tc>
      </w:tr>
      <w:tr>
        <w:tc>
          <w:tcPr>
            <w:tcW w:type="dxa" w:w="3000"/>
          </w:tcPr>
          <w:p>
            <w:r>
              <w:t xml:space="preserve">Human handoff</w:t>
            </w:r>
          </w:p>
        </w:tc>
        <w:tc>
          <w:tcPr>
            <w:tcW w:type="dxa" w:w="6350"/>
          </w:tcPr>
          <w:p>
            <w:r>
              <w:t xml:space="preserve">Escalation path to a live agent, with a permitted context summary.</w:t>
            </w:r>
          </w:p>
        </w:tc>
      </w:tr>
    </w:tbl>
    <w:p/>
    <w:p>
      <w:r>
        <w:t xml:space="preserve">This is documented visually in the six-view diagram package (LiveKit_Multicloud_Architecture_FULL.drawio): management overview, protocol boundaries, orchestration/adapters, a full call sequence example, exception/escalation handling, and deployment/observability.</w:t>
      </w:r>
    </w:p>
    <w:p/>
    <w:p>
      <w:pPr>
        <w:pStyle w:val="Heading2"/>
      </w:pPr>
      <w:r>
        <w:t xml:space="preserve">3.3 Design boundaries (what this is not)</w:t>
      </w:r>
    </w:p>
    <w:p>
      <w:pPr>
        <w:pStyle w:val="ListParagraph"/>
        <w:numPr>
          <w:ilvl w:val="0"/>
          <w:numId w:val="1"/>
        </w:numPr>
      </w:pPr>
      <w:r>
        <w:t xml:space="preserve">Not a rebuild of Dialogflow CX or Amazon Lex's existing conversation flows — those are reused as-is behind an adapter.</w:t>
      </w:r>
    </w:p>
    <w:p>
      <w:pPr>
        <w:pStyle w:val="ListParagraph"/>
        <w:numPr>
          <w:ilvl w:val="0"/>
          <w:numId w:val="1"/>
        </w:numPr>
      </w:pPr>
      <w:r>
        <w:t xml:space="preserve">Not a guarantee that any given CX page or Lex intent is already reusable as a clean, atomic skill — each one must be checked.</w:t>
      </w:r>
    </w:p>
    <w:p>
      <w:pPr>
        <w:pStyle w:val="ListParagraph"/>
        <w:numPr>
          <w:ilvl w:val="0"/>
          <w:numId w:val="1"/>
        </w:numPr>
      </w:pPr>
      <w:r>
        <w:t xml:space="preserve">Not a claim that A2A replaces CX/Lex — it is one more adapter option, used only where a real, compatible external agent exists.</w:t>
      </w:r>
    </w:p>
    <w:p/>
    <w:p>
      <w:pPr>
        <w:pStyle w:val="Heading1"/>
      </w:pPr>
      <w:r>
        <w:t xml:space="preserve">Part 4 — Low-Level Design (LLD)</w:t>
      </w:r>
    </w:p>
    <w:p>
      <w:pPr>
        <w:pStyle w:val="Heading2"/>
      </w:pPr>
      <w:r>
        <w:t xml:space="preserve">4.1 SkillPort contract (field-level)</w:t>
      </w:r>
    </w:p>
    <w:p>
      <w:r>
        <w:t xml:space="preserve">The orchestrator never calls CX, Lex, or an A2A agent directly — it always goes through SkillPort, which exposes exactly four operations:</w:t>
      </w:r>
    </w:p>
    <w:p>
      <w:pPr>
        <w:pStyle w:val="ListParagraph"/>
        <w:numPr>
          <w:ilvl w:val="0"/>
          <w:numId w:val="1"/>
        </w:numPr>
      </w:pPr>
      <w:r>
        <w:t xml:space="preserve">invoke — start a new skill task. Input: skill name/version, typed parameters, context reference, call/turn/request IDs, deadline, idempotency key.</w:t>
      </w:r>
    </w:p>
    <w:p>
      <w:pPr>
        <w:pStyle w:val="ListParagraph"/>
        <w:numPr>
          <w:ilvl w:val="0"/>
          <w:numId w:val="1"/>
        </w:numPr>
      </w:pPr>
      <w:r>
        <w:t xml:space="preserve">resume — continue a skill that returned NEEDS_INPUT, using the same backend session.</w:t>
      </w:r>
    </w:p>
    <w:p>
      <w:pPr>
        <w:pStyle w:val="ListParagraph"/>
        <w:numPr>
          <w:ilvl w:val="0"/>
          <w:numId w:val="1"/>
        </w:numPr>
      </w:pPr>
      <w:r>
        <w:t xml:space="preserve">status — poll a long-running task within the call's time budget.</w:t>
      </w:r>
    </w:p>
    <w:p>
      <w:pPr>
        <w:pStyle w:val="ListParagraph"/>
        <w:numPr>
          <w:ilvl w:val="0"/>
          <w:numId w:val="1"/>
        </w:numPr>
      </w:pPr>
      <w:r>
        <w:t xml:space="preserve">cancel — request cancellation; does not retroactively undo a completed business action.</w:t>
      </w:r>
    </w:p>
    <w:p/>
    <w:p>
      <w:r>
        <w:t xml:space="preserve">Every operation returns one of five internal outcomes, regardless of backend: COMPLETED, NEEDS_INPUT, WORKING, FAILED, CANCELLED. These are internal states defined by our application — not wire-level values from CX, Lex, or A2A. Each adapter is responsible for mapping its backend's native states onto this fixed set, which is what lets the orchestrator's routing logic stay identical no matter which backend answered.</w:t>
      </w:r>
    </w:p>
    <w:p/>
    <w:p>
      <w:pPr>
        <w:pStyle w:val="Heading2"/>
      </w:pPr>
      <w:r>
        <w:t xml:space="preserve">4.2 Session and state key design</w:t>
      </w:r>
    </w:p>
    <w:p>
      <w:r>
        <w:t xml:space="preserve">Every active skill call is keyed by tenant + call ID + skill + workflow instance. This key maps to exactly one backend session (a CX session ID, a Lex sessionId, or an A2A context/task ID). Two rules are load-bearing here:</w:t>
      </w:r>
    </w:p>
    <w:p>
      <w:pPr>
        <w:pStyle w:val="ListParagraph"/>
        <w:numPr>
          <w:ilvl w:val="0"/>
          <w:numId w:val="1"/>
        </w:numPr>
      </w:pPr>
      <w:r>
        <w:t xml:space="preserve">Serialize mutations to one backend session — never let two turns write to the same CX/Lex session concurrently.</w:t>
      </w:r>
    </w:p>
    <w:p>
      <w:pPr>
        <w:pStyle w:val="ListParagraph"/>
        <w:numPr>
          <w:ilvl w:val="0"/>
          <w:numId w:val="1"/>
        </w:numPr>
      </w:pPr>
      <w:r>
        <w:t xml:space="preserve">Reject any response tagged with an obsolete turn ID — this is what prevents a late-arriving answer from overwriting what the caller is currently hearing.</w:t>
      </w:r>
    </w:p>
    <w:p/>
    <w:p>
      <w:pPr>
        <w:pStyle w:val="Heading2"/>
      </w:pPr>
      <w:r>
        <w:t xml:space="preserve">4.3 Adapter-level detail</w:t>
      </w:r>
    </w:p>
    <w:p>
      <w:pPr>
        <w:pStyle w:val="Heading3"/>
      </w:pPr>
      <w:r>
        <w:t xml:space="preserve">CX adapter</w:t>
      </w:r>
    </w:p>
    <w:p>
      <w:r>
        <w:t xml:space="preserve">Maps a skill's entry point and parameters onto a Dialogflow CX detectIntent call (gRPC/TLS or REST/HTTPS), using Google workload identity with scoped IAM — never a bare API key. A NEEDS_INPUT outcome is produced when CX's queryResult carries an unresolved required parameter; the adapter surfaces CX's own prompt text as the continuation.</w:t>
      </w:r>
    </w:p>
    <w:p/>
    <w:p>
      <w:pPr>
        <w:pStyle w:val="Heading3"/>
      </w:pPr>
      <w:r>
        <w:t xml:space="preserve">Lex V2 adapter</w:t>
      </w:r>
    </w:p>
    <w:p>
      <w:r>
        <w:t xml:space="preserve">Maps onto RecognizeText over HTTPS, signed with AWS SigV4 (not gRPC — a common integration mistake to guard against). Slot-filling state lives in Lex's sessionState.intent.slots; the adapter's job is translating that into the same NEEDS_INPUT/COMPLETED vocabulary used everywhere else.</w:t>
      </w:r>
    </w:p>
    <w:p/>
    <w:p>
      <w:pPr>
        <w:pStyle w:val="Heading3"/>
      </w:pPr>
      <w:r>
        <w:t xml:space="preserve">A2A adapter</w:t>
      </w:r>
    </w:p>
    <w:p>
      <w:r>
        <w:t xml:space="preserve">Before first use, the adapter must fetch and validate the target agent's Agent Card — confirming protocol version, supported operations, and authentication binding. Cards are cached outside the live call turn to avoid adding discovery latency mid-conversation. Task lifecycle states (submitted, working, input-required, completed, failed, cancelled) map onto the same five internal outcomes.</w:t>
      </w:r>
    </w:p>
    <w:p/>
    <w:p>
      <w:pPr>
        <w:pStyle w:val="Heading3"/>
      </w:pPr>
      <w:r>
        <w:t xml:space="preserve">MCP / direct API adapter</w:t>
      </w:r>
    </w:p>
    <w:p>
      <w:r>
        <w:t xml:space="preserve">For tools or internal services with no task lifecycle of their own, this adapter must implement the COMPLETED/FAILED mapping itself — MCP does not provide task-state semantics natively the way A2A does.</w:t>
      </w:r>
    </w:p>
    <w:p/>
    <w:p>
      <w:pPr>
        <w:pStyle w:val="Heading2"/>
      </w:pPr>
      <w:r>
        <w:t xml:space="preserve">4.4 Error handling and retry logic</w:t>
      </w:r>
    </w:p>
    <w:p>
      <w:pPr>
        <w:pStyle w:val="ListParagraph"/>
        <w:numPr>
          <w:ilvl w:val="0"/>
          <w:numId w:val="1"/>
        </w:numPr>
      </w:pPr>
      <w:r>
        <w:t xml:space="preserve">Classify before retrying: only transient failures (timeout, 5xx, transient auth failure) are retried, and only within the call's remaining time budget.</w:t>
      </w:r>
    </w:p>
    <w:p>
      <w:pPr>
        <w:pStyle w:val="ListParagraph"/>
        <w:numPr>
          <w:ilvl w:val="0"/>
          <w:numId w:val="1"/>
        </w:numPr>
      </w:pPr>
      <w:r>
        <w:t xml:space="preserve">Idempotency: any operation with a side effect carries an idempotency key; a retried write must be safe to send twice.</w:t>
      </w:r>
    </w:p>
    <w:p>
      <w:pPr>
        <w:pStyle w:val="ListParagraph"/>
        <w:numPr>
          <w:ilvl w:val="0"/>
          <w:numId w:val="1"/>
        </w:numPr>
      </w:pPr>
      <w:r>
        <w:t xml:space="preserve">Unknown outcomes are never replayed blindly — if a write's result is unknown (e.g. a timeout after the request was sent), it must be reconciled (checked against the backend) before anything else touches that skill session.</w:t>
      </w:r>
    </w:p>
    <w:p>
      <w:pPr>
        <w:pStyle w:val="ListParagraph"/>
        <w:numPr>
          <w:ilvl w:val="0"/>
          <w:numId w:val="1"/>
        </w:numPr>
      </w:pPr>
      <w:r>
        <w:t xml:space="preserve">Interruption vs. cancellation are separate decisions: barge-in stops audio playback immediately; it does not automatically cancel an in-flight backend task.</w:t>
      </w:r>
    </w:p>
    <w:p/>
    <w:p>
      <w:pPr>
        <w:pStyle w:val="Heading2"/>
      </w:pPr>
      <w:r>
        <w:t xml:space="preserve">4.5 Security implementation detail</w:t>
      </w:r>
    </w:p>
    <w:p>
      <w:pPr>
        <w:pStyle w:val="ListParagraph"/>
        <w:numPr>
          <w:ilvl w:val="0"/>
          <w:numId w:val="1"/>
        </w:numPr>
      </w:pPr>
      <w:r>
        <w:t xml:space="preserve">LiveKit client tokens (issued to browser participants) are scoped to the minimum room/participant grant needed — never a broad, reusable token.</w:t>
      </w:r>
    </w:p>
    <w:p>
      <w:pPr>
        <w:pStyle w:val="ListParagraph"/>
        <w:numPr>
          <w:ilvl w:val="0"/>
          <w:numId w:val="1"/>
        </w:numPr>
      </w:pPr>
      <w:r>
        <w:t xml:space="preserve">All backend credentials (Google workload identity, AWS IAM/SigV4 keys, A2A auth tokens) stay server-side inside the worker process; they are never sent to or reachable from the client SDK.</w:t>
      </w:r>
    </w:p>
    <w:p>
      <w:pPr>
        <w:pStyle w:val="ListParagraph"/>
        <w:numPr>
          <w:ilvl w:val="0"/>
          <w:numId w:val="1"/>
        </w:numPr>
      </w:pPr>
      <w:r>
        <w:t xml:space="preserve">Outbound adapter endpoints are allowlisted — an A2A agent or MCP tool is never called just because it was discovered; it must appear in an approved registry.</w:t>
      </w:r>
    </w:p>
    <w:p>
      <w:pPr>
        <w:pStyle w:val="ListParagraph"/>
        <w:numPr>
          <w:ilvl w:val="0"/>
          <w:numId w:val="1"/>
        </w:numPr>
      </w:pPr>
      <w:r>
        <w:t xml:space="preserve">Authenticating the application to a backend is not the same as authorizing the caller — caller identity/access checks happen as an explicit, separate step before any skill is invoked.</w:t>
      </w:r>
    </w:p>
    <w:p/>
    <w:p>
      <w:pPr>
        <w:pStyle w:val="Heading1"/>
      </w:pPr>
      <w:r>
        <w:t xml:space="preserve">Part 5 — Every design option identified (and what was chosen)</w:t>
      </w:r>
    </w:p>
    <w:p>
      <w:r>
        <w:t xml:space="preserve">Consolidated from the full architecture review. Each row is a real fork in the design — not a minor implementation detail — with the option actually recommended in this proposal marked.</w:t>
      </w:r>
    </w:p>
    <w:p/>
    <w:p>
      <w:pPr>
        <w:pStyle w:val="Heading2"/>
      </w:pPr>
      <w:r>
        <w:t xml:space="preserve">5.1 Who owns the conversation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c>
          <w:tcPr>
            <w:tcW w:type="dxa" w:w="2600"/>
            <w:shd w:fill="D9D9D9" w:val="clear"/>
          </w:tcPr>
          <w:p>
            <w:r>
              <w:rPr>
                <w:b/>
                <w:bCs/>
              </w:rPr>
              <w:t xml:space="preserve">Option</w:t>
            </w:r>
          </w:p>
        </w:tc>
        <w:tc>
          <w:tcPr>
            <w:tcW w:type="dxa" w:w="4550"/>
            <w:shd w:fill="D9D9D9" w:val="clear"/>
          </w:tcPr>
          <w:p>
            <w:r>
              <w:rPr>
                <w:b/>
                <w:bCs/>
              </w:rPr>
              <w:t xml:space="preserve">Description</w:t>
            </w:r>
          </w:p>
        </w:tc>
        <w:tc>
          <w:tcPr>
            <w:tcW w:type="dxa" w:w="2200"/>
            <w:shd w:fill="D9D9D9" w:val="clear"/>
          </w:tcPr>
          <w:p>
            <w:r>
              <w:rPr>
                <w:b/>
                <w:bCs/>
              </w:rPr>
              <w:t xml:space="preserve">Status</w:t>
            </w:r>
          </w:p>
        </w:tc>
      </w:tr>
      <w:tr>
        <w:tc>
          <w:tcPr>
            <w:tcW w:type="dxa" w:w="2600"/>
          </w:tcPr>
          <w:p>
            <w:r>
              <w:t xml:space="preserve">CX-led (earlier PoC)</w:t>
            </w:r>
          </w:p>
        </w:tc>
        <w:tc>
          <w:tcPr>
            <w:tcW w:type="dxa" w:w="4550"/>
          </w:tcPr>
          <w:p>
            <w:r>
              <w:t xml:space="preserve">Dialogflow CX directly controls the conversation; LiveKit is just an audio bridge.</w:t>
            </w:r>
          </w:p>
        </w:tc>
        <w:tc>
          <w:tcPr>
            <w:tcW w:type="dxa" w:w="2200"/>
          </w:tcPr>
          <w:p>
            <w:r>
              <w:t xml:space="preserve">Superseded</w:t>
            </w:r>
          </w:p>
        </w:tc>
      </w:tr>
      <w:tr>
        <w:tc>
          <w:tcPr>
            <w:tcW w:type="dxa" w:w="2600"/>
          </w:tcPr>
          <w:p>
            <w:r>
              <w:t xml:space="preserve">LiveKit Agents-led (proposed)</w:t>
            </w:r>
          </w:p>
        </w:tc>
        <w:tc>
          <w:tcPr>
            <w:tcW w:type="dxa" w:w="4550"/>
          </w:tcPr>
          <w:p>
            <w:r>
              <w:t xml:space="preserve">Our application owns routing/context/turns; CX and Lex become delegated skill backends.</w:t>
            </w:r>
          </w:p>
        </w:tc>
        <w:tc>
          <w:tcPr>
            <w:tcW w:type="dxa" w:w="2200"/>
          </w:tcPr>
          <w:p>
            <w:r>
              <w:t xml:space="preserve">Recommended</w:t>
            </w:r>
          </w:p>
        </w:tc>
      </w:tr>
    </w:tbl>
    <w:p/>
    <w:p>
      <w:pPr>
        <w:pStyle w:val="Heading2"/>
      </w:pPr>
      <w:r>
        <w:t xml:space="preserve">5.2 A2A integration depth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c>
          <w:tcPr>
            <w:tcW w:type="dxa" w:w="2600"/>
            <w:shd w:fill="D9D9D9" w:val="clear"/>
          </w:tcPr>
          <w:p>
            <w:r>
              <w:rPr>
                <w:b/>
                <w:bCs/>
              </w:rPr>
              <w:t xml:space="preserve">Option</w:t>
            </w:r>
          </w:p>
        </w:tc>
        <w:tc>
          <w:tcPr>
            <w:tcW w:type="dxa" w:w="4550"/>
            <w:shd w:fill="D9D9D9" w:val="clear"/>
          </w:tcPr>
          <w:p>
            <w:r>
              <w:rPr>
                <w:b/>
                <w:bCs/>
              </w:rPr>
              <w:t xml:space="preserve">Description</w:t>
            </w:r>
          </w:p>
        </w:tc>
        <w:tc>
          <w:tcPr>
            <w:tcW w:type="dxa" w:w="2200"/>
            <w:shd w:fill="D9D9D9" w:val="clear"/>
          </w:tcPr>
          <w:p>
            <w:r>
              <w:rPr>
                <w:b/>
                <w:bCs/>
              </w:rPr>
              <w:t xml:space="preserve">Status</w:t>
            </w:r>
          </w:p>
        </w:tc>
      </w:tr>
      <w:tr>
        <w:tc>
          <w:tcPr>
            <w:tcW w:type="dxa" w:w="2600"/>
          </w:tcPr>
          <w:p>
            <w:r>
              <w:t xml:space="preserve">A. A2A client only</w:t>
            </w:r>
          </w:p>
        </w:tc>
        <w:tc>
          <w:tcPr>
            <w:tcW w:type="dxa" w:w="4550"/>
          </w:tcPr>
          <w:p>
            <w:r>
              <w:t xml:space="preserve">Orchestrator calls out to existing remote A2A agents when a skill needs specialist handling.</w:t>
            </w:r>
          </w:p>
        </w:tc>
        <w:tc>
          <w:tcPr>
            <w:tcW w:type="dxa" w:w="2200"/>
          </w:tcPr>
          <w:p>
            <w:r>
              <w:t xml:space="preserve">Recommended pilot</w:t>
            </w:r>
          </w:p>
        </w:tc>
      </w:tr>
      <w:tr>
        <w:tc>
          <w:tcPr>
            <w:tcW w:type="dxa" w:w="2600"/>
          </w:tcPr>
          <w:p>
            <w:r>
              <w:t xml:space="preserve">B. Client + server</w:t>
            </w:r>
          </w:p>
        </w:tc>
        <w:tc>
          <w:tcPr>
            <w:tcW w:type="dxa" w:w="4550"/>
          </w:tcPr>
          <w:p>
            <w:r>
              <w:t xml:space="preserve">Also expose our own capabilities as an A2A endpoint for other systems to call.</w:t>
            </w:r>
          </w:p>
        </w:tc>
        <w:tc>
          <w:tcPr>
            <w:tcW w:type="dxa" w:w="2200"/>
          </w:tcPr>
          <w:p>
            <w:r>
              <w:t xml:space="preserve">Deferred — no confirmed consumer yet</w:t>
            </w:r>
          </w:p>
        </w:tc>
      </w:tr>
      <w:tr>
        <w:tc>
          <w:tcPr>
            <w:tcW w:type="dxa" w:w="2600"/>
          </w:tcPr>
          <w:p>
            <w:r>
              <w:t xml:space="preserve">C. Full A2A mesh</w:t>
            </w:r>
          </w:p>
        </w:tc>
        <w:tc>
          <w:tcPr>
            <w:tcW w:type="dxa" w:w="4550"/>
          </w:tcPr>
          <w:p>
            <w:r>
              <w:t xml:space="preserve">Replace most of CX's flow logic with a network of A2A agents and LLM-based routing.</w:t>
            </w:r>
          </w:p>
        </w:tc>
        <w:tc>
          <w:tcPr>
            <w:tcW w:type="dxa" w:w="2200"/>
          </w:tcPr>
          <w:p>
            <w:r>
              <w:t xml:space="preserve">Not recommended now — platform-level rebuild, not incremental</w:t>
            </w:r>
          </w:p>
        </w:tc>
      </w:tr>
      <w:tr>
        <w:tc>
          <w:tcPr>
            <w:tcW w:type="dxa" w:w="2600"/>
          </w:tcPr>
          <w:p>
            <w:r>
              <w:t xml:space="preserve">D. No A2A</w:t>
            </w:r>
          </w:p>
        </w:tc>
        <w:tc>
          <w:tcPr>
            <w:tcW w:type="dxa" w:w="4550"/>
          </w:tcPr>
          <w:p>
            <w:r>
              <w:t xml:space="preserve">Integrate specialists via plain REST/function calls only.</w:t>
            </w:r>
          </w:p>
        </w:tc>
        <w:tc>
          <w:tcPr>
            <w:tcW w:type="dxa" w:w="2200"/>
          </w:tcPr>
          <w:p>
            <w:r>
              <w:t xml:space="preserve">Fallback if A2A pilot underperforms</w:t>
            </w:r>
          </w:p>
        </w:tc>
      </w:tr>
    </w:tbl>
    <w:p/>
    <w:p>
      <w:pPr>
        <w:pStyle w:val="Heading2"/>
      </w:pPr>
      <w:r>
        <w:t xml:space="preserve">5.3 Skill backend adapters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9D9D9" w:val="clear"/>
          </w:tcPr>
          <w:p>
            <w:r>
              <w:rPr>
                <w:b/>
                <w:bCs/>
              </w:rPr>
              <w:t xml:space="preserve">Backend</w:t>
            </w:r>
          </w:p>
        </w:tc>
        <w:tc>
          <w:tcPr>
            <w:tcW w:type="dxa" w:w="6750"/>
            <w:shd w:fill="D9D9D9" w:val="clear"/>
          </w:tcPr>
          <w:p>
            <w:r>
              <w:rPr>
                <w:b/>
                <w:bCs/>
              </w:rPr>
              <w:t xml:space="preserve">When to use it</w:t>
            </w:r>
          </w:p>
        </w:tc>
      </w:tr>
      <w:tr>
        <w:tc>
          <w:tcPr>
            <w:tcW w:type="dxa" w:w="2600"/>
          </w:tcPr>
          <w:p>
            <w:r>
              <w:t xml:space="preserve">Dialogflow CX</w:t>
            </w:r>
          </w:p>
        </w:tc>
        <w:tc>
          <w:tcPr>
            <w:tcW w:type="dxa" w:w="6750"/>
          </w:tcPr>
          <w:p>
            <w:r>
              <w:t xml:space="preserve">Existing CX flows already handle a skill's dialog and fulfillment well; keep it behind the CX adapter.</w:t>
            </w:r>
          </w:p>
        </w:tc>
      </w:tr>
      <w:tr>
        <w:tc>
          <w:tcPr>
            <w:tcW w:type="dxa" w:w="2600"/>
          </w:tcPr>
          <w:p>
            <w:r>
              <w:t xml:space="preserve">Amazon Lex V2</w:t>
            </w:r>
          </w:p>
        </w:tc>
        <w:tc>
          <w:tcPr>
            <w:tcW w:type="dxa" w:w="6750"/>
          </w:tcPr>
          <w:p>
            <w:r>
              <w:t xml:space="preserve">Existing Lex bots/intents cover the skill; keep behind the Lex adapter.</w:t>
            </w:r>
          </w:p>
        </w:tc>
      </w:tr>
      <w:tr>
        <w:tc>
          <w:tcPr>
            <w:tcW w:type="dxa" w:w="2600"/>
          </w:tcPr>
          <w:p>
            <w:r>
              <w:t xml:space="preserve">A2A agent</w:t>
            </w:r>
          </w:p>
        </w:tc>
        <w:tc>
          <w:tcPr>
            <w:tcW w:type="dxa" w:w="6750"/>
          </w:tcPr>
          <w:p>
            <w:r>
              <w:t xml:space="preserve">An independent agent already exposes (or can be wrapped to expose) a compatible Agent Card and task interface.</w:t>
            </w:r>
          </w:p>
        </w:tc>
      </w:tr>
      <w:tr>
        <w:tc>
          <w:tcPr>
            <w:tcW w:type="dxa" w:w="2600"/>
          </w:tcPr>
          <w:p>
            <w:r>
              <w:t xml:space="preserve">MCP / direct API</w:t>
            </w:r>
          </w:p>
        </w:tc>
        <w:tc>
          <w:tcPr>
            <w:tcW w:type="dxa" w:w="6750"/>
          </w:tcPr>
          <w:p>
            <w:r>
              <w:t xml:space="preserve">A simple typed tool or internal service call is sufficient; no multi-turn dialog or task lifecycle needed.</w:t>
            </w:r>
          </w:p>
        </w:tc>
      </w:tr>
    </w:tbl>
    <w:p/>
    <w:p>
      <w:pPr>
        <w:pStyle w:val="Heading2"/>
      </w:pPr>
      <w:r>
        <w:t xml:space="preserve">5.4 Voice processing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c>
          <w:tcPr>
            <w:tcW w:type="dxa" w:w="2600"/>
            <w:shd w:fill="D9D9D9" w:val="clear"/>
          </w:tcPr>
          <w:p>
            <w:r>
              <w:rPr>
                <w:b/>
                <w:bCs/>
              </w:rPr>
              <w:t xml:space="preserve">Option</w:t>
            </w:r>
          </w:p>
        </w:tc>
        <w:tc>
          <w:tcPr>
            <w:tcW w:type="dxa" w:w="4550"/>
            <w:shd w:fill="D9D9D9" w:val="clear"/>
          </w:tcPr>
          <w:p>
            <w:r>
              <w:rPr>
                <w:b/>
                <w:bCs/>
              </w:rPr>
              <w:t xml:space="preserve">Description</w:t>
            </w:r>
          </w:p>
        </w:tc>
        <w:tc>
          <w:tcPr>
            <w:tcW w:type="dxa" w:w="2200"/>
            <w:shd w:fill="D9D9D9" w:val="clear"/>
          </w:tcPr>
          <w:p>
            <w:r>
              <w:rPr>
                <w:b/>
                <w:bCs/>
              </w:rPr>
              <w:t xml:space="preserve">Status</w:t>
            </w:r>
          </w:p>
        </w:tc>
      </w:tr>
      <w:tr>
        <w:tc>
          <w:tcPr>
            <w:tcW w:type="dxa" w:w="2600"/>
          </w:tcPr>
          <w:p>
            <w:r>
              <w:t xml:space="preserve">Baseline pipeline</w:t>
            </w:r>
          </w:p>
        </w:tc>
        <w:tc>
          <w:tcPr>
            <w:tcW w:type="dxa" w:w="4550"/>
          </w:tcPr>
          <w:p>
            <w:r>
              <w:t xml:space="preserve">Separate STT, LLM, and TTS provider plugins, swappable independently.</w:t>
            </w:r>
          </w:p>
        </w:tc>
        <w:tc>
          <w:tcPr>
            <w:tcW w:type="dxa" w:w="2200"/>
          </w:tcPr>
          <w:p>
            <w:r>
              <w:t xml:space="preserve">Recommended default</w:t>
            </w:r>
          </w:p>
        </w:tc>
      </w:tr>
      <w:tr>
        <w:tc>
          <w:tcPr>
            <w:tcW w:type="dxa" w:w="2600"/>
          </w:tcPr>
          <w:p>
            <w:r>
              <w:t xml:space="preserve">Realtime speech model</w:t>
            </w:r>
          </w:p>
        </w:tc>
        <w:tc>
          <w:tcPr>
            <w:tcW w:type="dxa" w:w="4550"/>
          </w:tcPr>
          <w:p>
            <w:r>
              <w:t xml:space="preserve">A single model handles speech in/out directly, replacing the 3-stage pipeline.</w:t>
            </w:r>
          </w:p>
        </w:tc>
        <w:tc>
          <w:tcPr>
            <w:tcW w:type="dxa" w:w="2200"/>
          </w:tcPr>
          <w:p>
            <w:r>
              <w:t xml:space="preserve">Alternative — needs its own state/fallback policy; not a drop-in swap</w:t>
            </w:r>
          </w:p>
        </w:tc>
      </w:tr>
    </w:tbl>
    <w:p/>
    <w:p>
      <w:pPr>
        <w:pStyle w:val="Heading2"/>
      </w:pPr>
      <w:r>
        <w:t xml:space="preserve">5.5 Hosting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c>
          <w:tcPr>
            <w:tcW w:type="dxa" w:w="2600"/>
            <w:shd w:fill="D9D9D9" w:val="clear"/>
          </w:tcPr>
          <w:p>
            <w:r>
              <w:rPr>
                <w:b/>
                <w:bCs/>
              </w:rPr>
              <w:t xml:space="preserve">Option</w:t>
            </w:r>
          </w:p>
        </w:tc>
        <w:tc>
          <w:tcPr>
            <w:tcW w:type="dxa" w:w="4550"/>
            <w:shd w:fill="D9D9D9" w:val="clear"/>
          </w:tcPr>
          <w:p>
            <w:r>
              <w:rPr>
                <w:b/>
                <w:bCs/>
              </w:rPr>
              <w:t xml:space="preserve">Description</w:t>
            </w:r>
          </w:p>
        </w:tc>
        <w:tc>
          <w:tcPr>
            <w:tcW w:type="dxa" w:w="2200"/>
            <w:shd w:fill="D9D9D9" w:val="clear"/>
          </w:tcPr>
          <w:p>
            <w:r>
              <w:rPr>
                <w:b/>
                <w:bCs/>
              </w:rPr>
              <w:t xml:space="preserve">Status</w:t>
            </w:r>
          </w:p>
        </w:tc>
      </w:tr>
      <w:tr>
        <w:tc>
          <w:tcPr>
            <w:tcW w:type="dxa" w:w="2600"/>
          </w:tcPr>
          <w:p>
            <w:r>
              <w:t xml:space="preserve">LiveKit Cloud (managed)</w:t>
            </w:r>
          </w:p>
        </w:tc>
        <w:tc>
          <w:tcPr>
            <w:tcW w:type="dxa" w:w="4550"/>
          </w:tcPr>
          <w:p>
            <w:r>
              <w:t xml:space="preserve">No self-hosting; faster to start, less operational overhead.</w:t>
            </w:r>
          </w:p>
        </w:tc>
        <w:tc>
          <w:tcPr>
            <w:tcW w:type="dxa" w:w="2200"/>
          </w:tcPr>
          <w:p>
            <w:r>
              <w:t xml:space="preserve">Open — pending hosting decision</w:t>
            </w:r>
          </w:p>
        </w:tc>
      </w:tr>
      <w:tr>
        <w:tc>
          <w:tcPr>
            <w:tcW w:type="dxa" w:w="2600"/>
          </w:tcPr>
          <w:p>
            <w:r>
              <w:t xml:space="preserve">Self-hosted LiveKit</w:t>
            </w:r>
          </w:p>
        </w:tc>
        <w:tc>
          <w:tcPr>
            <w:tcW w:type="dxa" w:w="4550"/>
          </w:tcPr>
          <w:p>
            <w:r>
              <w:t xml:space="preserve">Full control of region/data placement; more operational responsibility.</w:t>
            </w:r>
          </w:p>
        </w:tc>
        <w:tc>
          <w:tcPr>
            <w:tcW w:type="dxa" w:w="2200"/>
          </w:tcPr>
          <w:p>
            <w:r>
              <w:t xml:space="preserve">Open — pending hosting decision</w:t>
            </w:r>
          </w:p>
        </w:tc>
      </w:tr>
    </w:tbl>
    <w:p/>
    <w:p>
      <w:pPr>
        <w:pStyle w:val="Heading2"/>
      </w:pPr>
      <w:r>
        <w:t xml:space="preserve">5.6 Human handoff mechanism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c>
          <w:tcPr>
            <w:tcW w:type="dxa" w:w="2600"/>
            <w:shd w:fill="D9D9D9" w:val="clear"/>
          </w:tcPr>
          <w:p>
            <w:r>
              <w:rPr>
                <w:b/>
                <w:bCs/>
              </w:rPr>
              <w:t xml:space="preserve">Option</w:t>
            </w:r>
          </w:p>
        </w:tc>
        <w:tc>
          <w:tcPr>
            <w:tcW w:type="dxa" w:w="4550"/>
            <w:shd w:fill="D9D9D9" w:val="clear"/>
          </w:tcPr>
          <w:p>
            <w:r>
              <w:rPr>
                <w:b/>
                <w:bCs/>
              </w:rPr>
              <w:t xml:space="preserve">Description</w:t>
            </w:r>
          </w:p>
        </w:tc>
        <w:tc>
          <w:tcPr>
            <w:tcW w:type="dxa" w:w="2200"/>
            <w:shd w:fill="D9D9D9" w:val="clear"/>
          </w:tcPr>
          <w:p>
            <w:r>
              <w:rPr>
                <w:b/>
                <w:bCs/>
              </w:rPr>
              <w:t xml:space="preserve">Status</w:t>
            </w:r>
          </w:p>
        </w:tc>
      </w:tr>
      <w:tr>
        <w:tc>
          <w:tcPr>
            <w:tcW w:type="dxa" w:w="2600"/>
          </w:tcPr>
          <w:p>
            <w:r>
              <w:t xml:space="preserve">Desktop joins LiveKit room</w:t>
            </w:r>
          </w:p>
        </w:tc>
        <w:tc>
          <w:tcPr>
            <w:tcW w:type="dxa" w:w="4550"/>
          </w:tcPr>
          <w:p>
            <w:r>
              <w:t xml:space="preserve">Human agent's desktop client joins the same room; media and context both stay together.</w:t>
            </w:r>
          </w:p>
        </w:tc>
        <w:tc>
          <w:tcPr>
            <w:tcW w:type="dxa" w:w="2200"/>
          </w:tcPr>
          <w:p>
            <w:r>
              <w:t xml:space="preserve">Open — pending contact-center vendor</w:t>
            </w:r>
          </w:p>
        </w:tc>
      </w:tr>
      <w:tr>
        <w:tc>
          <w:tcPr>
            <w:tcW w:type="dxa" w:w="2600"/>
          </w:tcPr>
          <w:p>
            <w:r>
              <w:t xml:space="preserve">Warm SIP transfer</w:t>
            </w:r>
          </w:p>
        </w:tc>
        <w:tc>
          <w:tcPr>
            <w:tcW w:type="dxa" w:w="4550"/>
          </w:tcPr>
          <w:p>
            <w:r>
              <w:t xml:space="preserve">Call is transferred via SIP with a separate context API call alongside it.</w:t>
            </w:r>
          </w:p>
        </w:tc>
        <w:tc>
          <w:tcPr>
            <w:tcW w:type="dxa" w:w="2200"/>
          </w:tcPr>
          <w:p>
            <w:r>
              <w:t xml:space="preserve">Open — pending contact-center vendor</w:t>
            </w:r>
          </w:p>
        </w:tc>
      </w:tr>
      <w:tr>
        <w:tc>
          <w:tcPr>
            <w:tcW w:type="dxa" w:w="2600"/>
          </w:tcPr>
          <w:p>
            <w:r>
              <w:t xml:space="preserve">Cold SIP REFER</w:t>
            </w:r>
          </w:p>
        </w:tc>
        <w:tc>
          <w:tcPr>
            <w:tcW w:type="dxa" w:w="4550"/>
          </w:tcPr>
          <w:p>
            <w:r>
              <w:t xml:space="preserve">Caller leaves the LiveKit session entirely; simplest but no guaranteed context/screen-pop.</w:t>
            </w:r>
          </w:p>
        </w:tc>
        <w:tc>
          <w:tcPr>
            <w:tcW w:type="dxa" w:w="2200"/>
          </w:tcPr>
          <w:p>
            <w:r>
              <w:t xml:space="preserve">Fallback option only</w:t>
            </w:r>
          </w:p>
        </w:tc>
      </w:tr>
    </w:tbl>
    <w:p/>
    <w:p>
      <w:pPr>
        <w:pStyle w:val="Heading1"/>
      </w:pPr>
      <w:r>
        <w:t xml:space="preserve">Part 6 — Recommendation</w:t>
      </w:r>
    </w:p>
    <w:p>
      <w:r>
        <w:t xml:space="preserve">Proceed with the LiveKit Agents-led orchestration model (5.1), using the A2A-client-only integration depth (5.2, Option A) as a scoped pilot, keeping Dialogflow CX and Amazon Lex as the primary skill backends for their existing flows. Hosting and human-handoff mechanism remain open decisions requiring vendor input before they can be finalized — they do not block starting the orchestrator and adapter build, since both are swappable behind the same SkillPort contract.</w:t>
      </w:r>
    </w:p>
    <w:p/>
    <w:p>
      <w:r>
        <w:t xml:space="preserve">This proposal, together with the six-view diagram package and the data-flow/requirements document, forms the complete design baseline. None of these establishes that the real cloud voice path or live human handoff has passed an end-to-end test — that evidence remains the next milestone.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2026-09-12T23:43:51.326Z</dcterms:created>
  <dcterms:modified xsi:type="dcterms:W3CDTF">2026-09-12T23:43:51.336Z</dcterms:modified>
</cp:coreProperties>
</file>

<file path=docProps/custom.xml><?xml version="1.0" encoding="utf-8"?>
<Properties xmlns="http://schemas.openxmlformats.org/officeDocument/2006/custom-properties" xmlns:vt="http://schemas.openxmlformats.org/officeDocument/2006/docPropsVTypes"/>
</file>