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3865"/>
          <w:sz w:val="40"/>
          <w:szCs w:val="40"/>
        </w:rPr>
        <w:t xml:space="preserve">DOCUMENTACIÓN TÉCNICA</w:t>
      </w:r>
    </w:p>
    <w:p>
      <w:pPr>
        <w:spacing w:after="120"/>
        <w:jc w:val="center"/>
      </w:pPr>
      <w:r>
        <w:rPr>
          <w:rFonts w:ascii="Arial" w:cs="Arial" w:eastAsia="Arial" w:hAnsi="Arial"/>
          <w:color w:val="444444"/>
          <w:sz w:val="32"/>
          <w:szCs w:val="32"/>
        </w:rPr>
        <w:t xml:space="preserve">Proceso de Generación de Estados de Cuenta JSON</w:t>
      </w:r>
    </w:p>
    <w:p>
      <w:pPr>
        <w:spacing w:after="120"/>
        <w:jc w:val="center"/>
      </w:pPr>
      <w:r>
        <w:rPr>
          <w:rFonts w:ascii="Arial" w:cs="Arial" w:eastAsia="Arial" w:hAnsi="Arial"/>
          <w:color w:val="666666"/>
          <w:sz w:val="26"/>
          <w:szCs w:val="26"/>
        </w:rPr>
        <w:t xml:space="preserve">Tarjeta de Crédito – Banco País</w:t>
      </w:r>
    </w:p>
    <w:p>
      <w:pPr>
        <w:pBdr>
          <w:bottom w:val="single" w:color="003865" w:sz="6" w:space="1"/>
        </w:pBdr>
        <w:spacing w:after="200"/>
      </w:pPr>
      <w:r>
        <w:t xml:space="preserve"/>
      </w:r>
    </w:p>
    <w:p>
      <w:pPr>
        <w:spacing w:after="80"/>
        <w:jc w:val="center"/>
      </w:pPr>
      <w:r>
        <w:rPr>
          <w:rFonts w:ascii="Arial" w:cs="Arial" w:eastAsia="Arial" w:hAnsi="Arial"/>
          <w:color w:val="888888"/>
          <w:sz w:val="22"/>
          <w:szCs w:val="22"/>
        </w:rPr>
        <w:t xml:space="preserve">Versión 1.0  |  2026</w:t>
      </w:r>
    </w:p>
    <w:p>
      <w:pPr>
        <w:spacing w:after="80"/>
        <w:jc w:val="center"/>
      </w:pPr>
      <w:r>
        <w:rPr>
          <w:rFonts w:ascii="Arial" w:cs="Arial" w:eastAsia="Arial" w:hAnsi="Arial"/>
          <w:color w:val="888888"/>
          <w:sz w:val="22"/>
          <w:szCs w:val="22"/>
        </w:rPr>
        <w:t xml:space="preserve">Base de datos: EstadosCuentaJSONProcesador</w:t>
      </w:r>
    </w:p>
    <w:p>
      <w:r>
        <w:br w:type="page"/>
      </w:r>
    </w:p>
    <w:p>
      <w:pPr>
        <w:pStyle w:val="Heading1"/>
        <w:spacing w:after="180" w:before="360"/>
      </w:pPr>
      <w:r>
        <w:rPr>
          <w:rFonts w:ascii="Arial" w:cs="Arial" w:eastAsia="Arial" w:hAnsi="Arial"/>
          <w:b/>
          <w:bCs/>
          <w:color w:val="003865"/>
          <w:sz w:val="32"/>
          <w:szCs w:val="32"/>
        </w:rPr>
        <w:t xml:space="preserve">1. Descripción General</w:t>
      </w:r>
    </w:p>
    <w:p>
      <w:pPr>
        <w:pBdr>
          <w:bottom w:val="single" w:color="003865" w:sz="6" w:space="1"/>
        </w:pBdr>
        <w:spacing w:after="200"/>
      </w:pPr>
      <w:r>
        <w:t xml:space="preserve"/>
      </w:r>
    </w:p>
    <w:p>
      <w:pPr>
        <w:spacing w:after="120"/>
      </w:pPr>
      <w:r>
        <w:rPr>
          <w:rFonts w:ascii="Arial" w:cs="Arial" w:eastAsia="Arial" w:hAnsi="Arial"/>
          <w:sz w:val="22"/>
          <w:szCs w:val="22"/>
        </w:rPr>
        <w:t xml:space="preserve">El proceso de Generación de Estados de Cuenta JSON es una solución automatizada desarrollada para Banco País, cuyo objetivo es producir archivos JSON individuales que representan el estado de cuenta mensual de cada tarjeta de crédito correspondiente a un corte específico.</w:t>
      </w:r>
    </w:p>
    <w:p>
      <w:pPr>
        <w:spacing w:after="120"/>
      </w:pPr>
      <w:r>
        <w:rPr>
          <w:rFonts w:ascii="Arial" w:cs="Arial" w:eastAsia="Arial" w:hAnsi="Arial"/>
          <w:sz w:val="22"/>
          <w:szCs w:val="22"/>
        </w:rPr>
        <w:t xml:space="preserve">La solución se compone de dos elementos principales que trabajan de forma orquestada:</w:t>
      </w:r>
    </w:p>
    <w:p>
      <w:pPr>
        <w:pStyle w:val="ListParagraph"/>
        <w:numPr>
          <w:ilvl w:val="0"/>
          <w:numId w:val="2"/>
        </w:numPr>
        <w:spacing w:after="80"/>
      </w:pPr>
      <w:r>
        <w:rPr>
          <w:rFonts w:ascii="Arial" w:cs="Arial" w:eastAsia="Arial" w:hAnsi="Arial"/>
          <w:b w:val="false"/>
          <w:bCs w:val="false"/>
          <w:sz w:val="22"/>
          <w:szCs w:val="22"/>
        </w:rPr>
        <w:t xml:space="preserve">Aplicación de consola (.NET): responsable de la generación masiva e individual de los archivos JSON, conectándose a la base de datos, aplicando lógica de negocio y escribiendo los resultados en disco.</w:t>
      </w:r>
    </w:p>
    <w:p>
      <w:pPr>
        <w:pStyle w:val="ListParagraph"/>
        <w:numPr>
          <w:ilvl w:val="0"/>
          <w:numId w:val="2"/>
        </w:numPr>
        <w:spacing w:after="80"/>
      </w:pPr>
      <w:r>
        <w:rPr>
          <w:rFonts w:ascii="Arial" w:cs="Arial" w:eastAsia="Arial" w:hAnsi="Arial"/>
          <w:b w:val="false"/>
          <w:bCs w:val="false"/>
          <w:sz w:val="22"/>
          <w:szCs w:val="22"/>
        </w:rPr>
        <w:t xml:space="preserve">Paquete SSIS (GeneracionECJson.dtsx): encargado de la automatización y orquestación del proceso, gestionando la lectura de parámetros, la ejecución de la consola, el traslado de archivos generados y el envío de notificaciones por correo electrónico al finalizar.</w:t>
      </w:r>
    </w:p>
    <w:p>
      <w:pPr>
        <w:spacing w:after="80"/>
      </w:pPr>
      <w:r>
        <w:t xml:space="preserve"/>
      </w:r>
    </w:p>
    <w:p>
      <w:pPr>
        <w:spacing w:after="120"/>
      </w:pPr>
      <w:r>
        <w:rPr>
          <w:rFonts w:ascii="Arial" w:cs="Arial" w:eastAsia="Arial" w:hAnsi="Arial"/>
          <w:sz w:val="22"/>
          <w:szCs w:val="22"/>
        </w:rPr>
        <w:t xml:space="preserve">El proceso soporta dos modalidades de generación: por lote (procesamiento masivo de todos los clientes de un corte) e individual (regeneración de un estado de cuenta puntual). Ambas modalidades se controlan mediante parámetros almacenados en la base de datos.</w:t>
      </w:r>
    </w:p>
    <w:p>
      <w:pPr>
        <w:spacing w:after="80"/>
      </w:pPr>
      <w:r>
        <w:t xml:space="preserve"/>
      </w:r>
    </w:p>
    <w:p>
      <w:pPr>
        <w:pStyle w:val="Heading1"/>
        <w:spacing w:after="180" w:before="360"/>
      </w:pPr>
      <w:r>
        <w:rPr>
          <w:rFonts w:ascii="Arial" w:cs="Arial" w:eastAsia="Arial" w:hAnsi="Arial"/>
          <w:b/>
          <w:bCs/>
          <w:color w:val="003865"/>
          <w:sz w:val="32"/>
          <w:szCs w:val="32"/>
        </w:rPr>
        <w:t xml:space="preserve">2. Componentes del Sistema</w:t>
      </w:r>
    </w:p>
    <w:p>
      <w:pPr>
        <w:pBdr>
          <w:bottom w:val="single" w:color="003865" w:sz="6" w:space="1"/>
        </w:pBdr>
        <w:spacing w:after="200"/>
      </w:pPr>
      <w:r>
        <w:t xml:space="preserve"/>
      </w:r>
    </w:p>
    <w:p>
      <w:pPr>
        <w:pStyle w:val="Heading2"/>
        <w:spacing w:after="120" w:before="280"/>
      </w:pPr>
      <w:r>
        <w:rPr>
          <w:rFonts w:ascii="Arial" w:cs="Arial" w:eastAsia="Arial" w:hAnsi="Arial"/>
          <w:b/>
          <w:bCs/>
          <w:color w:val="003865"/>
          <w:sz w:val="26"/>
          <w:szCs w:val="26"/>
        </w:rPr>
        <w:t xml:space="preserve">2.1 Consola de Generación (.NET)</w:t>
      </w:r>
    </w:p>
    <w:p>
      <w:pPr>
        <w:spacing w:after="120"/>
      </w:pPr>
      <w:r>
        <w:rPr>
          <w:rFonts w:ascii="Arial" w:cs="Arial" w:eastAsia="Arial" w:hAnsi="Arial"/>
          <w:sz w:val="22"/>
          <w:szCs w:val="22"/>
        </w:rPr>
        <w:t xml:space="preserve">Aplicación ejecutable de línea de comandos desarrollada en C# / .NET Framework. Se invoca desde el paquete SSIS mediante un Process Task y recibe los parámetros de ejecución desde la base de datos EstadosCuentaJSONProcesador.</w:t>
      </w:r>
    </w:p>
    <w:p>
      <w:pPr>
        <w:spacing w:after="120"/>
      </w:pPr>
      <w:r>
        <w:rPr>
          <w:rFonts w:ascii="Arial" w:cs="Arial" w:eastAsia="Arial" w:hAnsi="Arial"/>
          <w:sz w:val="22"/>
          <w:szCs w:val="22"/>
        </w:rPr>
        <w:t xml:space="preserve">Responsabilidades principales:</w:t>
      </w:r>
    </w:p>
    <w:p>
      <w:pPr>
        <w:pStyle w:val="ListParagraph"/>
        <w:numPr>
          <w:ilvl w:val="0"/>
          <w:numId w:val="2"/>
        </w:numPr>
        <w:spacing w:after="80"/>
      </w:pPr>
      <w:r>
        <w:rPr>
          <w:rFonts w:ascii="Arial" w:cs="Arial" w:eastAsia="Arial" w:hAnsi="Arial"/>
          <w:b w:val="false"/>
          <w:bCs w:val="false"/>
          <w:sz w:val="22"/>
          <w:szCs w:val="22"/>
        </w:rPr>
        <w:t xml:space="preserve">Leer los parámetros de generación desde la tabla ParametrosGeneracionEC.</w:t>
      </w:r>
    </w:p>
    <w:p>
      <w:pPr>
        <w:pStyle w:val="ListParagraph"/>
        <w:numPr>
          <w:ilvl w:val="0"/>
          <w:numId w:val="2"/>
        </w:numPr>
        <w:spacing w:after="80"/>
      </w:pPr>
      <w:r>
        <w:rPr>
          <w:rFonts w:ascii="Arial" w:cs="Arial" w:eastAsia="Arial" w:hAnsi="Arial"/>
          <w:b w:val="false"/>
          <w:bCs w:val="false"/>
          <w:sz w:val="22"/>
          <w:szCs w:val="22"/>
        </w:rPr>
        <w:t xml:space="preserve">Conectarse al origen de datos de tarjetas de crédito y obtener los registros correspondientes al corte activo.</w:t>
      </w:r>
    </w:p>
    <w:p>
      <w:pPr>
        <w:pStyle w:val="ListParagraph"/>
        <w:numPr>
          <w:ilvl w:val="0"/>
          <w:numId w:val="2"/>
        </w:numPr>
        <w:spacing w:after="80"/>
      </w:pPr>
      <w:r>
        <w:rPr>
          <w:rFonts w:ascii="Arial" w:cs="Arial" w:eastAsia="Arial" w:hAnsi="Arial"/>
          <w:b w:val="false"/>
          <w:bCs w:val="false"/>
          <w:sz w:val="22"/>
          <w:szCs w:val="22"/>
        </w:rPr>
        <w:t xml:space="preserve">Construir la estructura JSON de cada estado de cuenta aplicando la llave de encriptación configurada.</w:t>
      </w:r>
    </w:p>
    <w:p>
      <w:pPr>
        <w:pStyle w:val="ListParagraph"/>
        <w:numPr>
          <w:ilvl w:val="0"/>
          <w:numId w:val="2"/>
        </w:numPr>
        <w:spacing w:after="80"/>
      </w:pPr>
      <w:r>
        <w:rPr>
          <w:rFonts w:ascii="Arial" w:cs="Arial" w:eastAsia="Arial" w:hAnsi="Arial"/>
          <w:b w:val="false"/>
          <w:bCs w:val="false"/>
          <w:sz w:val="22"/>
          <w:szCs w:val="22"/>
        </w:rPr>
        <w:t xml:space="preserve">Escribir los archivos JSON en la ruta local configurada (RutaArchivoJson).</w:t>
      </w:r>
    </w:p>
    <w:p>
      <w:pPr>
        <w:pStyle w:val="ListParagraph"/>
        <w:numPr>
          <w:ilvl w:val="0"/>
          <w:numId w:val="2"/>
        </w:numPr>
        <w:spacing w:after="80"/>
      </w:pPr>
      <w:r>
        <w:rPr>
          <w:rFonts w:ascii="Arial" w:cs="Arial" w:eastAsia="Arial" w:hAnsi="Arial"/>
          <w:b w:val="false"/>
          <w:bCs w:val="false"/>
          <w:sz w:val="22"/>
          <w:szCs w:val="22"/>
        </w:rPr>
        <w:t xml:space="preserve">Generar un archivo Contador.txt con el total de registros procesados al finalizar.</w:t>
      </w:r>
    </w:p>
    <w:p>
      <w:pPr>
        <w:pStyle w:val="ListParagraph"/>
        <w:numPr>
          <w:ilvl w:val="0"/>
          <w:numId w:val="2"/>
        </w:numPr>
        <w:spacing w:after="80"/>
      </w:pPr>
      <w:r>
        <w:rPr>
          <w:rFonts w:ascii="Arial" w:cs="Arial" w:eastAsia="Arial" w:hAnsi="Arial"/>
          <w:b w:val="false"/>
          <w:bCs w:val="false"/>
          <w:sz w:val="22"/>
          <w:szCs w:val="22"/>
        </w:rPr>
        <w:t xml:space="preserve">Notificar al SSIS el resultado del proceso (éxito o error) mediante código de salida.</w:t>
      </w:r>
    </w:p>
    <w:p>
      <w:pPr>
        <w:spacing w:after="80"/>
      </w:pPr>
      <w:r>
        <w:t xml:space="preserve"/>
      </w:r>
    </w:p>
    <w:p>
      <w:pPr>
        <w:pStyle w:val="Heading2"/>
        <w:spacing w:after="120" w:before="280"/>
      </w:pPr>
      <w:r>
        <w:rPr>
          <w:rFonts w:ascii="Arial" w:cs="Arial" w:eastAsia="Arial" w:hAnsi="Arial"/>
          <w:b/>
          <w:bCs/>
          <w:color w:val="003865"/>
          <w:sz w:val="26"/>
          <w:szCs w:val="26"/>
        </w:rPr>
        <w:t xml:space="preserve">2.2 Paquete SSIS (GeneracionECJson.dtsx)</w:t>
      </w:r>
    </w:p>
    <w:p>
      <w:pPr>
        <w:spacing w:after="120"/>
      </w:pPr>
      <w:r>
        <w:rPr>
          <w:rFonts w:ascii="Arial" w:cs="Arial" w:eastAsia="Arial" w:hAnsi="Arial"/>
          <w:sz w:val="22"/>
          <w:szCs w:val="22"/>
        </w:rPr>
        <w:t xml:space="preserve">Paquete de SQL Server Integration Services que actúa como orquestador del proceso completo. Todas las rutas, servidores de correo y parámetros de configuración son leídos desde la base de datos al inicio de la ejecución, almacenándose en variables del paquete.</w:t>
      </w:r>
    </w:p>
    <w:p>
      <w:pPr>
        <w:spacing w:after="120"/>
      </w:pPr>
      <w:r>
        <w:rPr>
          <w:rFonts w:ascii="Arial" w:cs="Arial" w:eastAsia="Arial" w:hAnsi="Arial"/>
          <w:sz w:val="22"/>
          <w:szCs w:val="22"/>
        </w:rPr>
        <w:t xml:space="preserve">Responsabilidades principales:</w:t>
      </w:r>
    </w:p>
    <w:p>
      <w:pPr>
        <w:pStyle w:val="ListParagraph"/>
        <w:numPr>
          <w:ilvl w:val="0"/>
          <w:numId w:val="2"/>
        </w:numPr>
        <w:spacing w:after="80"/>
      </w:pPr>
      <w:r>
        <w:rPr>
          <w:rFonts w:ascii="Arial" w:cs="Arial" w:eastAsia="Arial" w:hAnsi="Arial"/>
          <w:b w:val="false"/>
          <w:bCs w:val="false"/>
          <w:sz w:val="22"/>
          <w:szCs w:val="22"/>
        </w:rPr>
        <w:t xml:space="preserve">Cargar parámetros de ejecución y configuración de correo desde la BD.</w:t>
      </w:r>
    </w:p>
    <w:p>
      <w:pPr>
        <w:pStyle w:val="ListParagraph"/>
        <w:numPr>
          <w:ilvl w:val="0"/>
          <w:numId w:val="2"/>
        </w:numPr>
        <w:spacing w:after="80"/>
      </w:pPr>
      <w:r>
        <w:rPr>
          <w:rFonts w:ascii="Arial" w:cs="Arial" w:eastAsia="Arial" w:hAnsi="Arial"/>
          <w:b w:val="false"/>
          <w:bCs w:val="false"/>
          <w:sz w:val="22"/>
          <w:szCs w:val="22"/>
        </w:rPr>
        <w:t xml:space="preserve">Ejecutar la consola de generación de JSON.</w:t>
      </w:r>
    </w:p>
    <w:p>
      <w:pPr>
        <w:pStyle w:val="ListParagraph"/>
        <w:numPr>
          <w:ilvl w:val="0"/>
          <w:numId w:val="2"/>
        </w:numPr>
        <w:spacing w:after="80"/>
      </w:pPr>
      <w:r>
        <w:rPr>
          <w:rFonts w:ascii="Arial" w:cs="Arial" w:eastAsia="Arial" w:hAnsi="Arial"/>
          <w:b w:val="false"/>
          <w:bCs w:val="false"/>
          <w:sz w:val="22"/>
          <w:szCs w:val="22"/>
        </w:rPr>
        <w:t xml:space="preserve">Copiar los archivos JSON generados hacia la carpeta compartida de destino.</w:t>
      </w:r>
    </w:p>
    <w:p>
      <w:pPr>
        <w:pStyle w:val="ListParagraph"/>
        <w:numPr>
          <w:ilvl w:val="0"/>
          <w:numId w:val="2"/>
        </w:numPr>
        <w:spacing w:after="80"/>
      </w:pPr>
      <w:r>
        <w:rPr>
          <w:rFonts w:ascii="Arial" w:cs="Arial" w:eastAsia="Arial" w:hAnsi="Arial"/>
          <w:b w:val="false"/>
          <w:bCs w:val="false"/>
          <w:sz w:val="22"/>
          <w:szCs w:val="22"/>
        </w:rPr>
        <w:t xml:space="preserve">Mover el archivo ZIP al histórico correspondiente.</w:t>
      </w:r>
    </w:p>
    <w:p>
      <w:pPr>
        <w:pStyle w:val="ListParagraph"/>
        <w:numPr>
          <w:ilvl w:val="0"/>
          <w:numId w:val="2"/>
        </w:numPr>
        <w:spacing w:after="80"/>
      </w:pPr>
      <w:r>
        <w:rPr>
          <w:rFonts w:ascii="Arial" w:cs="Arial" w:eastAsia="Arial" w:hAnsi="Arial"/>
          <w:b w:val="false"/>
          <w:bCs w:val="false"/>
          <w:sz w:val="22"/>
          <w:szCs w:val="22"/>
        </w:rPr>
        <w:t xml:space="preserve">Enviar correo de notificación de éxito (tipo REPORTE) o error (tipo ERROR) según el resultado.</w:t>
      </w:r>
    </w:p>
    <w:p>
      <w:pPr>
        <w:spacing w:after="80"/>
      </w:pPr>
      <w:r>
        <w:t xml:space="preserve"/>
      </w:r>
    </w:p>
    <w:p>
      <w:pPr>
        <w:pStyle w:val="Heading1"/>
        <w:spacing w:after="180" w:before="360"/>
      </w:pPr>
      <w:r>
        <w:rPr>
          <w:rFonts w:ascii="Arial" w:cs="Arial" w:eastAsia="Arial" w:hAnsi="Arial"/>
          <w:b/>
          <w:bCs/>
          <w:color w:val="003865"/>
          <w:sz w:val="32"/>
          <w:szCs w:val="32"/>
        </w:rPr>
        <w:t xml:space="preserve">3. Flujo Funcional</w:t>
      </w:r>
    </w:p>
    <w:p>
      <w:pPr>
        <w:pBdr>
          <w:bottom w:val="single" w:color="003865" w:sz="6" w:space="1"/>
        </w:pBdr>
        <w:spacing w:after="200"/>
      </w:pPr>
      <w:r>
        <w:t xml:space="preserve"/>
      </w:r>
    </w:p>
    <w:p>
      <w:pPr>
        <w:spacing w:after="120"/>
      </w:pPr>
      <w:r>
        <w:rPr>
          <w:rFonts w:ascii="Arial" w:cs="Arial" w:eastAsia="Arial" w:hAnsi="Arial"/>
          <w:sz w:val="22"/>
          <w:szCs w:val="22"/>
        </w:rPr>
        <w:t xml:space="preserve">El proceso sigue la siguiente secuencia de pasos de forma secuencial y controlada: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w:t>
            </w:r>
          </w:p>
        </w:tc>
        <w:tc>
          <w:tcPr>
            <w:tcW w:type="dxa" w:w="28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Etapa</w:t>
            </w:r>
          </w:p>
        </w:tc>
        <w:tc>
          <w:tcPr>
            <w:tcW w:type="dxa" w:w="566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Inicio del paquete SSIS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SQL Agent Job invoca el paquete GeneracionECJson.dtsx de forma programada en la fecha de corte correspondiente.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Carga de parámetros</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paquete ejecuta un Execute SQL Task que consulta ParametrosGeneracionEC y ParametrosEnvioEmail, cargando los valores en variables internas del paquete.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Ejecución de consola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Process Task invoca la aplicación de consola .NET, pasando la configuración necesaria. La consola genera los archivos JSON en la ruta local configurada.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Validación de resultado</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 Precedence Constraint evalúa el código de salida de la consola. Si es exitoso, continúa con el paso 5; si hay error, salta al paso 7 (notificación de error).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Copia a carpeta compartida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File System Task copia los archivos JSON desde la ruta local hacia la ruta de red destino (RutaDestinoArchivoJson) mediante rutas UNC.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Traslado a histórico</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archivo ZIP generado es movido a la carpeta de histórico dentro del servidor, utilizando Copy + Delete para compatibilidad entre volúmenes distintos.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Notificación por correo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Script Task en C# envía un correo utilizando la plantilla HTML correspondiente al tipo de resultado (REPORTE en éxito, ERROR en fallo), reemplazando los placeholders dinámicos con los valores del proceso.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 del proceso</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paquete finaliza su ejecución. El resultado queda registrado en el historial de ejecuciones del SQL Agent Job.</w:t>
            </w:r>
          </w:p>
        </w:tc>
      </w:tr>
    </w:tbl>
    <w:p>
      <w:pPr>
        <w:spacing w:after="80"/>
      </w:pPr>
      <w:r>
        <w:t xml:space="preserve"/>
      </w:r>
    </w:p>
    <w:p>
      <w:pPr>
        <w:spacing w:after="80"/>
      </w:pPr>
      <w:r>
        <w:t xml:space="preserve"/>
      </w:r>
    </w:p>
    <w:p>
      <w:pPr>
        <w:pStyle w:val="Heading1"/>
        <w:spacing w:after="180" w:before="360"/>
      </w:pPr>
      <w:r>
        <w:rPr>
          <w:rFonts w:ascii="Arial" w:cs="Arial" w:eastAsia="Arial" w:hAnsi="Arial"/>
          <w:b/>
          <w:bCs/>
          <w:color w:val="003865"/>
          <w:sz w:val="32"/>
          <w:szCs w:val="32"/>
        </w:rPr>
        <w:t xml:space="preserve">4. Tablas de Parametrización</w:t>
      </w:r>
    </w:p>
    <w:p>
      <w:pPr>
        <w:pBdr>
          <w:bottom w:val="single" w:color="003865" w:sz="6" w:space="1"/>
        </w:pBdr>
        <w:spacing w:after="200"/>
      </w:pPr>
      <w:r>
        <w:t xml:space="preserve"/>
      </w:r>
    </w:p>
    <w:p>
      <w:pPr>
        <w:spacing w:after="120"/>
      </w:pPr>
      <w:r>
        <w:rPr>
          <w:rFonts w:ascii="Arial" w:cs="Arial" w:eastAsia="Arial" w:hAnsi="Arial"/>
          <w:sz w:val="22"/>
          <w:szCs w:val="22"/>
        </w:rPr>
        <w:t xml:space="preserve">Todas las configuraciones del proceso se gestionan desde la base de datos EstadosCuentaJSONProcesador, eliminando la necesidad de modificar código o archivos de configuración para ajustar el comportamiento del proceso.</w:t>
      </w:r>
    </w:p>
    <w:p>
      <w:pPr>
        <w:spacing w:after="80"/>
      </w:pPr>
      <w:r>
        <w:t xml:space="preserve"/>
      </w:r>
    </w:p>
    <w:p>
      <w:pPr>
        <w:pStyle w:val="Heading2"/>
        <w:spacing w:after="120" w:before="280"/>
      </w:pPr>
      <w:r>
        <w:rPr>
          <w:rFonts w:ascii="Arial" w:cs="Arial" w:eastAsia="Arial" w:hAnsi="Arial"/>
          <w:b/>
          <w:bCs/>
          <w:color w:val="003865"/>
          <w:sz w:val="26"/>
          <w:szCs w:val="26"/>
        </w:rPr>
        <w:t xml:space="preserve">4.1 ParametrosCorte</w:t>
      </w:r>
    </w:p>
    <w:p>
      <w:pPr>
        <w:spacing w:after="120"/>
      </w:pPr>
      <w:r>
        <w:rPr>
          <w:rFonts w:ascii="Arial" w:cs="Arial" w:eastAsia="Arial" w:hAnsi="Arial"/>
          <w:sz w:val="22"/>
          <w:szCs w:val="22"/>
        </w:rPr>
        <w:t xml:space="preserve">Almacena las fechas de corte registradas en el sistema. El proceso identifica el corte activo buscando el registro cuyo campo de estado tenga el valor 1, lo cual indica que es el corte vigente a procesar. Solo debe existir un registro activo a la vez.</w:t>
      </w:r>
    </w:p>
    <w:p>
      <w:pPr>
        <w:spacing w:after="80"/>
      </w:pPr>
      <w:r>
        <w:t xml:space="preserve"/>
      </w:r>
    </w:p>
    <w:p>
      <w:pPr>
        <w:pStyle w:val="Heading2"/>
        <w:spacing w:after="120" w:before="280"/>
      </w:pPr>
      <w:r>
        <w:rPr>
          <w:rFonts w:ascii="Arial" w:cs="Arial" w:eastAsia="Arial" w:hAnsi="Arial"/>
          <w:b/>
          <w:bCs/>
          <w:color w:val="003865"/>
          <w:sz w:val="26"/>
          <w:szCs w:val="26"/>
        </w:rPr>
        <w:t xml:space="preserve">4.2 ParametrosGeneracionEC</w:t>
      </w:r>
    </w:p>
    <w:p>
      <w:pPr>
        <w:spacing w:after="120"/>
      </w:pPr>
      <w:r>
        <w:rPr>
          <w:rFonts w:ascii="Arial" w:cs="Arial" w:eastAsia="Arial" w:hAnsi="Arial"/>
          <w:sz w:val="22"/>
          <w:szCs w:val="22"/>
        </w:rPr>
        <w:t xml:space="preserve">Tabla principal de configuración del proceso. Contiene todos los parámetros operativos que la consola y el paquete SSIS utilizan para ejecutar la generación.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Columna</w:t>
            </w:r>
          </w:p>
        </w:tc>
        <w:tc>
          <w:tcPr>
            <w:tcW w:type="dxa" w:w="18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96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FechaCorteProcesar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del corte a procesar. Debe coincidir con el corte activo en ParametrosCorte.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DireccionReporte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Ruta donde se generan los reportes o archivos de salida del proceso.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RutaArchivoJson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Ruta local donde la consola escribe los archivos JSON generados (ej. C:\EstadosCuenta\JSON\Generados).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RutaDestinoArchivoJson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Ruta de red UNC destino a donde el SSIS copia los archivos JSON luego de generados (ej. \\PRD-FILESERVER\In_Tec_act\...).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LlaveEncripta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Llave de encriptación utilizada para cifrar el contenido sensible dentro de los archivos JSON.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TipoGeneracion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 la modalidad de ejecución: LOTE para procesamiento masivo o INDIVIDUAL para regeneración de un cliente específico.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RegistrosPorLote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 de registros que la consola procesa por cada lote de trabajo en la generación masiva.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CantidadHilos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Número de hilos (threads) paralelos que la consola utiliza para el procesamiento concurrente de registros.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NombreArchivo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base o patrón utilizado para nombrar los archivos JSON y/o ZIP generados.</w:t>
            </w:r>
          </w:p>
        </w:tc>
      </w:tr>
    </w:tbl>
    <w:p>
      <w:pPr>
        <w:spacing w:after="80"/>
      </w:pPr>
      <w:r>
        <w:t xml:space="preserve"/>
      </w:r>
    </w:p>
    <w:p>
      <w:pPr>
        <w:spacing w:after="80"/>
      </w:pPr>
      <w:r>
        <w:t xml:space="preserve"/>
      </w:r>
    </w:p>
    <w:p>
      <w:pPr>
        <w:pStyle w:val="Heading2"/>
        <w:spacing w:after="120" w:before="280"/>
      </w:pPr>
      <w:r>
        <w:rPr>
          <w:rFonts w:ascii="Arial" w:cs="Arial" w:eastAsia="Arial" w:hAnsi="Arial"/>
          <w:b/>
          <w:bCs/>
          <w:color w:val="003865"/>
          <w:sz w:val="26"/>
          <w:szCs w:val="26"/>
        </w:rPr>
        <w:t xml:space="preserve">4.3 ParametrosEnvioEmail</w:t>
      </w:r>
    </w:p>
    <w:p>
      <w:pPr>
        <w:spacing w:after="120"/>
      </w:pPr>
      <w:r>
        <w:rPr>
          <w:rFonts w:ascii="Arial" w:cs="Arial" w:eastAsia="Arial" w:hAnsi="Arial"/>
          <w:sz w:val="22"/>
          <w:szCs w:val="22"/>
        </w:rPr>
        <w:t xml:space="preserve">Contiene la configuración de correo electrónico y las plantillas HTML utilizadas para notificar el resultado del proceso. La tabla contempla dos tipos de notificación:</w:t>
      </w:r>
    </w:p>
    <w:p>
      <w:pPr>
        <w:pStyle w:val="ListParagraph"/>
        <w:numPr>
          <w:ilvl w:val="0"/>
          <w:numId w:val="2"/>
        </w:numPr>
        <w:spacing w:after="80"/>
      </w:pPr>
      <w:r>
        <w:rPr>
          <w:rFonts w:ascii="Arial" w:cs="Arial" w:eastAsia="Arial" w:hAnsi="Arial"/>
          <w:b w:val="false"/>
          <w:bCs w:val="false"/>
          <w:sz w:val="22"/>
          <w:szCs w:val="22"/>
        </w:rPr>
        <w:t xml:space="preserve">ERROR: Se envía cuando el proceso de generación no completó exitosamente. El correo incluye una tabla de detalle con la fecha de corte, tipo de generación, fecha de ejecución y el mensaje de error capturado. El diseño utiliza colores rojos para destacar la alerta.</w:t>
      </w:r>
    </w:p>
    <w:p>
      <w:pPr>
        <w:pStyle w:val="ListParagraph"/>
        <w:numPr>
          <w:ilvl w:val="0"/>
          <w:numId w:val="2"/>
        </w:numPr>
        <w:spacing w:after="80"/>
      </w:pPr>
      <w:r>
        <w:rPr>
          <w:rFonts w:ascii="Arial" w:cs="Arial" w:eastAsia="Arial" w:hAnsi="Arial"/>
          <w:b w:val="false"/>
          <w:bCs w:val="false"/>
          <w:sz w:val="22"/>
          <w:szCs w:val="22"/>
        </w:rPr>
        <w:t xml:space="preserve">REPORTE: Se envía cuando el proceso finaliza correctamente. El correo incluye un resumen de procesamiento con fecha de corte, tipo de generación, fecha de ejecución y total de registros procesados. Utiliza el estilo corporativo azul de Banco País.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000"/>
        <w:gridCol w:w="2560"/>
      </w:tblGrid>
      <w:tr>
        <w:trPr>
          <w:tblHeader/>
        </w:trPr>
        <w:tc>
          <w:tcPr>
            <w:tcW w:type="dxa" w:w="14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Columna</w:t>
            </w:r>
          </w:p>
        </w:tc>
        <w:tc>
          <w:tcPr>
            <w:tcW w:type="dxa" w:w="16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18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(ERROR)</w:t>
            </w:r>
          </w:p>
        </w:tc>
        <w:tc>
          <w:tcPr>
            <w:tcW w:type="dxa" w:w="20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(REPORTE)</w:t>
            </w:r>
          </w:p>
        </w:tc>
        <w:tc>
          <w:tcPr>
            <w:tcW w:type="dxa" w:w="256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del registro.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Tipo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Tipo de notificación. El SSIS selecciona el registro según el resultado del proceso.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SmtpServer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PRD-CAS1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PRD-CAS1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o IP del servidor SMTP para el envío del correo.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MailFrom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EstadoCuentaTC@banpais.hn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EstadoCuentaTC@banpais.hn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Dirección de correo remitente del proceso.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MailSubject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proceso 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 EC generado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Asunto del correo enviado.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CorreoDestino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pamelas@banpais.hn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pamelas@banpais.hn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Destinatario(s) del correo de notificación. Puede contener múltiples direcciones separadas por punto y coma.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PlantillaHTML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con diseño de alerta roja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con diseño corporativo azul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Plantilla HTML del cuerpo del correo. Contiene placeholders reemplazados en tiempo de ejecución.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Estado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Indica si el registro está activo (1) o inactivo (0).</w:t>
            </w:r>
          </w:p>
        </w:tc>
      </w:tr>
    </w:tbl>
    <w:p>
      <w:pPr>
        <w:spacing w:after="80"/>
      </w:pPr>
      <w:r>
        <w:t xml:space="preserve"/>
      </w:r>
    </w:p>
    <w:p>
      <w:pPr>
        <w:spacing w:after="80"/>
      </w:pPr>
      <w:r>
        <w:t xml:space="preserve"/>
      </w:r>
    </w:p>
    <w:p>
      <w:pPr>
        <w:spacing w:after="120"/>
      </w:pPr>
      <w:r>
        <w:rPr>
          <w:rFonts w:ascii="Arial" w:cs="Arial" w:eastAsia="Arial" w:hAnsi="Arial"/>
          <w:sz w:val="22"/>
          <w:szCs w:val="22"/>
        </w:rPr>
        <w:t xml:space="preserve">Los placeholders disponibles en las plantillas HTML son los siguientes: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Placeholder</w:t>
            </w:r>
          </w:p>
        </w:tc>
        <w:tc>
          <w:tcPr>
            <w:tcW w:type="dxa" w:w="200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Aplica en</w:t>
            </w:r>
          </w:p>
        </w:tc>
        <w:tc>
          <w:tcPr>
            <w:tcW w:type="dxa" w:w="4560"/>
            <w:tcBorders>
              <w:top w:val="single" w:color="003865" w:sz="1"/>
              <w:left w:val="single" w:color="003865" w:sz="1"/>
              <w:bottom w:val="single" w:color="003865" w:sz="1"/>
              <w:right w:val="single" w:color="003865" w:sz="1"/>
            </w:tcBorders>
            <w:shd w:fill="00386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[FechaCorte]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 REPORTE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del corte procesado.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[TipoGeneracion]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 REPORTE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Modalidad de generación ejecutada (LOTE o INDIVIDUAL).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[FechaEjecucion]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 REPORTE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y hora en que se ejecutó el proceso.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[TotalProcesados]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de registros procesados exitosamente, obtenido del archivo Contador.txt.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Descripción del error capturado durante la ejecución del proceso.</w:t>
            </w:r>
          </w:p>
        </w:tc>
      </w:tr>
    </w:tbl>
    <w:p>
      <w:pPr>
        <w:spacing w:after="80"/>
      </w:pPr>
      <w:r>
        <w:t xml:space="preserve"/>
      </w:r>
    </w:p>
    <w:p>
      <w:pPr>
        <w:spacing w:after="80"/>
      </w:pPr>
      <w:r>
        <w:t xml:space="preserve"/>
      </w:r>
    </w:p>
    <w:p>
      <w:pPr>
        <w:pStyle w:val="Heading1"/>
        <w:spacing w:after="180" w:before="360"/>
      </w:pPr>
      <w:r>
        <w:rPr>
          <w:rFonts w:ascii="Arial" w:cs="Arial" w:eastAsia="Arial" w:hAnsi="Arial"/>
          <w:b/>
          <w:bCs/>
          <w:color w:val="003865"/>
          <w:sz w:val="32"/>
          <w:szCs w:val="32"/>
        </w:rPr>
        <w:t xml:space="preserve">5. Tipos de Generación</w:t>
      </w:r>
    </w:p>
    <w:p>
      <w:pPr>
        <w:pBdr>
          <w:bottom w:val="single" w:color="003865" w:sz="6" w:space="1"/>
        </w:pBdr>
        <w:spacing w:after="200"/>
      </w:pPr>
      <w:r>
        <w:t xml:space="preserve"/>
      </w:r>
    </w:p>
    <w:p>
      <w:pPr>
        <w:spacing w:after="120"/>
      </w:pPr>
      <w:r>
        <w:rPr>
          <w:rFonts w:ascii="Arial" w:cs="Arial" w:eastAsia="Arial" w:hAnsi="Arial"/>
          <w:sz w:val="22"/>
          <w:szCs w:val="22"/>
        </w:rPr>
        <w:t xml:space="preserve">El parámetro TipoGeneracion en la tabla ParametrosGeneracionEC determina la modalidad de ejecución del proceso. Esto permite usar la misma infraestructura técnica para dos escenarios operativos distintos.</w:t>
      </w:r>
    </w:p>
    <w:p>
      <w:pPr>
        <w:spacing w:after="80"/>
      </w:pPr>
      <w:r>
        <w:t xml:space="preserve"/>
      </w:r>
    </w:p>
    <w:p>
      <w:pPr>
        <w:pStyle w:val="Heading2"/>
        <w:spacing w:after="120" w:before="280"/>
      </w:pPr>
      <w:r>
        <w:rPr>
          <w:rFonts w:ascii="Arial" w:cs="Arial" w:eastAsia="Arial" w:hAnsi="Arial"/>
          <w:b/>
          <w:bCs/>
          <w:color w:val="003865"/>
          <w:sz w:val="26"/>
          <w:szCs w:val="26"/>
        </w:rPr>
        <w:t xml:space="preserve">5.1 Generación por Lote</w:t>
      </w:r>
    </w:p>
    <w:p>
      <w:pPr>
        <w:spacing w:after="120"/>
      </w:pPr>
      <w:r>
        <w:rPr>
          <w:rFonts w:ascii="Arial" w:cs="Arial" w:eastAsia="Arial" w:hAnsi="Arial"/>
          <w:sz w:val="22"/>
          <w:szCs w:val="22"/>
        </w:rPr>
        <w:t xml:space="preserve">Es la modalidad estándar del proceso. La consola recupera la totalidad de cuentas de tarjeta de crédito asociadas al corte activo y genera un archivo JSON por cada una. Para optimizar el tiempo de procesamiento, los registros se distribuyen en lotes (definidos por RegistrosPorLote) y cada lote es procesado por un hilo independiente (definido por CantidadHilos), permitiendo la generación concurrente y reduciendo significativamente el tiempo total de ejecución cuando el volumen de cuentas es alto.</w:t>
      </w:r>
    </w:p>
    <w:p>
      <w:pPr>
        <w:spacing w:after="80"/>
      </w:pPr>
      <w:r>
        <w:t xml:space="preserve"/>
      </w:r>
    </w:p>
    <w:p>
      <w:pPr>
        <w:pStyle w:val="Heading2"/>
        <w:spacing w:after="120" w:before="280"/>
      </w:pPr>
      <w:r>
        <w:rPr>
          <w:rFonts w:ascii="Arial" w:cs="Arial" w:eastAsia="Arial" w:hAnsi="Arial"/>
          <w:b/>
          <w:bCs/>
          <w:color w:val="003865"/>
          <w:sz w:val="26"/>
          <w:szCs w:val="26"/>
        </w:rPr>
        <w:t xml:space="preserve">5.2 Generación Individual</w:t>
      </w:r>
    </w:p>
    <w:p>
      <w:pPr>
        <w:spacing w:after="120"/>
      </w:pPr>
      <w:r>
        <w:rPr>
          <w:rFonts w:ascii="Arial" w:cs="Arial" w:eastAsia="Arial" w:hAnsi="Arial"/>
          <w:sz w:val="22"/>
          <w:szCs w:val="22"/>
        </w:rPr>
        <w:t xml:space="preserve">Se utiliza cuando es necesario regenerar el estado de cuenta de una cuenta específica, por ejemplo ante una solicitud de cliente o corrección de datos. En este modo, la consola procesa únicamente el registro indicado, ignorando el resto de cuentas del corte. Dado que se trata de un solo registro, el procesamiento paralelo no aplica en esta modalidad.</w:t>
      </w:r>
    </w:p>
    <w:p>
      <w:pPr>
        <w:spacing w:after="80"/>
      </w:pPr>
      <w:r>
        <w:t xml:space="preserve"/>
      </w:r>
    </w:p>
    <w:p>
      <w:pPr>
        <w:pStyle w:val="Heading1"/>
        <w:spacing w:after="180" w:before="360"/>
      </w:pPr>
      <w:r>
        <w:rPr>
          <w:rFonts w:ascii="Arial" w:cs="Arial" w:eastAsia="Arial" w:hAnsi="Arial"/>
          <w:b/>
          <w:bCs/>
          <w:color w:val="003865"/>
          <w:sz w:val="32"/>
          <w:szCs w:val="32"/>
        </w:rPr>
        <w:t xml:space="preserve">6. Consideraciones Técnicas</w:t>
      </w:r>
    </w:p>
    <w:p>
      <w:pPr>
        <w:pBdr>
          <w:bottom w:val="single" w:color="003865" w:sz="6" w:space="1"/>
        </w:pBdr>
        <w:spacing w:after="200"/>
      </w:pPr>
      <w:r>
        <w:t xml:space="preserve"/>
      </w:r>
    </w:p>
    <w:p>
      <w:pPr>
        <w:pStyle w:val="ListParagraph"/>
        <w:numPr>
          <w:ilvl w:val="0"/>
          <w:numId w:val="2"/>
        </w:numPr>
        <w:spacing w:after="80"/>
      </w:pPr>
      <w:r>
        <w:rPr>
          <w:rFonts w:ascii="Arial" w:cs="Arial" w:eastAsia="Arial" w:hAnsi="Arial"/>
          <w:b w:val="false"/>
          <w:bCs w:val="false"/>
          <w:sz w:val="22"/>
          <w:szCs w:val="22"/>
        </w:rPr>
        <w:t xml:space="preserve">Las rutas de destino deben configurarse como rutas UNC (\\servidor\recurso\carpeta) en los parámetros de la BD, ya que el paquete SSIS se ejecuta en contexto de servidor y las unidades mapeadas no son confiables en ese entorno.</w:t>
      </w:r>
    </w:p>
    <w:p>
      <w:pPr>
        <w:pStyle w:val="ListParagraph"/>
        <w:numPr>
          <w:ilvl w:val="0"/>
          <w:numId w:val="2"/>
        </w:numPr>
        <w:spacing w:after="80"/>
      </w:pPr>
      <w:r>
        <w:rPr>
          <w:rFonts w:ascii="Arial" w:cs="Arial" w:eastAsia="Arial" w:hAnsi="Arial"/>
          <w:b w:val="false"/>
          <w:bCs w:val="false"/>
          <w:sz w:val="22"/>
          <w:szCs w:val="22"/>
        </w:rPr>
        <w:t xml:space="preserve">La copia de archivos entre la ruta local y la ruta de red se realiza mediante Copy + Delete en lugar de Move, debido a la restricción de SSIS que impide mover archivos entre volúmenes o unidades distintas.</w:t>
      </w:r>
    </w:p>
    <w:p>
      <w:pPr>
        <w:pStyle w:val="ListParagraph"/>
        <w:numPr>
          <w:ilvl w:val="0"/>
          <w:numId w:val="2"/>
        </w:numPr>
        <w:spacing w:after="80"/>
      </w:pPr>
      <w:r>
        <w:rPr>
          <w:rFonts w:ascii="Arial" w:cs="Arial" w:eastAsia="Arial" w:hAnsi="Arial"/>
          <w:b w:val="false"/>
          <w:bCs w:val="false"/>
          <w:sz w:val="22"/>
          <w:szCs w:val="22"/>
        </w:rPr>
        <w:t xml:space="preserve">La cuenta de servicio que ejecuta el SQL Agent Job debe tener permisos de lectura/escritura en las rutas de red configuradas en RutaDestinoArchivoJson.</w:t>
      </w:r>
    </w:p>
    <w:p>
      <w:pPr>
        <w:pStyle w:val="ListParagraph"/>
        <w:numPr>
          <w:ilvl w:val="0"/>
          <w:numId w:val="2"/>
        </w:numPr>
        <w:spacing w:after="80"/>
      </w:pPr>
      <w:r>
        <w:rPr>
          <w:rFonts w:ascii="Arial" w:cs="Arial" w:eastAsia="Arial" w:hAnsi="Arial"/>
          <w:b w:val="false"/>
          <w:bCs w:val="false"/>
          <w:sz w:val="22"/>
          <w:szCs w:val="22"/>
        </w:rPr>
        <w:t xml:space="preserve">El archivo Contador.txt generado por la consola es leído por el Script Task de notificación para incluir el total de registros procesados en el correo de reporte.</w:t>
      </w:r>
    </w:p>
    <w:p>
      <w:pPr>
        <w:pStyle w:val="ListParagraph"/>
        <w:numPr>
          <w:ilvl w:val="0"/>
          <w:numId w:val="2"/>
        </w:numPr>
        <w:spacing w:after="80"/>
      </w:pPr>
      <w:r>
        <w:rPr>
          <w:rFonts w:ascii="Arial" w:cs="Arial" w:eastAsia="Arial" w:hAnsi="Arial"/>
          <w:b w:val="false"/>
          <w:bCs w:val="false"/>
          <w:sz w:val="22"/>
          <w:szCs w:val="22"/>
        </w:rPr>
        <w:t xml:space="preserve">Las plantillas HTML de correo están almacenadas en la base de datos, permitiendo modificar el diseño del correo sin necesidad de redesplegar el paquete o la consola.</w:t>
      </w:r>
    </w:p>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865" w:sz="4" w:space="1"/>
      </w:pBdr>
      <w:tabs>
        <w:tab w:val="right" w:pos="9026"/>
      </w:tabs>
      <w:spacing w:before="120"/>
    </w:pPr>
    <w:r>
      <w:rPr>
        <w:rFonts w:ascii="Arial" w:cs="Arial" w:eastAsia="Arial" w:hAnsi="Arial"/>
        <w:color w:val="888888"/>
        <w:sz w:val="18"/>
        <w:szCs w:val="18"/>
      </w:rPr>
      <w:t xml:space="preserve">Confidencial – Uso Interno</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865" w:sz="4" w:space="1"/>
      </w:pBdr>
      <w:spacing w:after="120"/>
    </w:pPr>
    <w:r>
      <w:rPr>
        <w:rFonts w:ascii="Arial" w:cs="Arial" w:eastAsia="Arial" w:hAnsi="Arial"/>
        <w:color w:val="888888"/>
        <w:sz w:val="18"/>
        <w:szCs w:val="18"/>
      </w:rPr>
      <w:t xml:space="preserve">Documentación Técnica – Generación de Estados de Cuenta JSON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86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386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2026-04-30T05:16:41.560Z</dcterms:created>
  <dcterms:modified xsi:type="dcterms:W3CDTF">2026-04-30T05:16:41.561Z</dcterms:modified>
</cp:coreProperties>
</file>

<file path=docProps/custom.xml><?xml version="1.0" encoding="utf-8"?>
<Properties xmlns="http://schemas.openxmlformats.org/officeDocument/2006/custom-properties" xmlns:vt="http://schemas.openxmlformats.org/officeDocument/2006/docPropsVTypes"/>
</file>