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71D0E" w14:textId="6C4AB013" w:rsidR="00FA36BF" w:rsidRPr="004E3752" w:rsidRDefault="00000000" w:rsidP="004E3752">
      <w:pPr>
        <w:pBdr>
          <w:top w:val="single" w:sz="12" w:space="0" w:color="C8960C"/>
        </w:pBdr>
        <w:shd w:val="clear" w:color="auto" w:fill="003366"/>
        <w:spacing w:before="200"/>
        <w:jc w:val="center"/>
        <w:rPr>
          <w:rFonts w:ascii="Calibri" w:hAnsi="Calibri" w:cs="Calibri"/>
        </w:rPr>
      </w:pPr>
      <w:r w:rsidRPr="004E3752">
        <w:rPr>
          <w:rFonts w:ascii="Calibri" w:hAnsi="Calibri" w:cs="Calibri"/>
          <w:b/>
          <w:bCs/>
          <w:color w:val="FFFFFF"/>
          <w:sz w:val="36"/>
          <w:szCs w:val="36"/>
        </w:rPr>
        <w:t>EQUITY RESEARCH WHITE PAPER</w:t>
      </w:r>
    </w:p>
    <w:p w14:paraId="12E266CC" w14:textId="77777777" w:rsidR="00FA36BF" w:rsidRPr="006C35C6" w:rsidRDefault="00000000" w:rsidP="004E3752">
      <w:pPr>
        <w:shd w:val="clear" w:color="auto" w:fill="003366"/>
        <w:jc w:val="center"/>
        <w:rPr>
          <w:rFonts w:ascii="Calibri" w:hAnsi="Calibri" w:cs="Calibri"/>
          <w:color w:val="FFFFFF" w:themeColor="background1"/>
        </w:rPr>
      </w:pPr>
      <w:r w:rsidRPr="006C35C6">
        <w:rPr>
          <w:rFonts w:ascii="Calibri" w:hAnsi="Calibri" w:cs="Calibri"/>
          <w:b/>
          <w:bCs/>
          <w:color w:val="FFFFFF" w:themeColor="background1"/>
          <w:sz w:val="28"/>
          <w:szCs w:val="28"/>
        </w:rPr>
        <w:t>Costco Wholesale Corporation (NASDAQ: COST)</w:t>
      </w:r>
    </w:p>
    <w:p w14:paraId="40FDC907" w14:textId="114C48FD" w:rsidR="00FA36BF" w:rsidRPr="006C35C6" w:rsidRDefault="00000000" w:rsidP="004E3752">
      <w:pPr>
        <w:shd w:val="clear" w:color="auto" w:fill="003366"/>
        <w:jc w:val="center"/>
        <w:rPr>
          <w:rFonts w:ascii="Calibri" w:hAnsi="Calibri" w:cs="Calibri"/>
          <w:color w:val="FFFFFF" w:themeColor="background1"/>
        </w:rPr>
      </w:pPr>
      <w:r w:rsidRPr="006C35C6">
        <w:rPr>
          <w:rFonts w:ascii="Calibri" w:hAnsi="Calibri" w:cs="Calibri"/>
          <w:color w:val="FFFFFF" w:themeColor="background1"/>
        </w:rPr>
        <w:t xml:space="preserve">Investment Rating: HOLD / Accumulate on </w:t>
      </w:r>
      <w:r w:rsidR="006C35C6" w:rsidRPr="006C35C6">
        <w:rPr>
          <w:rFonts w:ascii="Calibri" w:hAnsi="Calibri" w:cs="Calibri"/>
          <w:color w:val="FFFFFF" w:themeColor="background1"/>
        </w:rPr>
        <w:t xml:space="preserve">Weakness </w:t>
      </w:r>
      <w:proofErr w:type="gramStart"/>
      <w:r w:rsidR="006C35C6" w:rsidRPr="006C35C6">
        <w:rPr>
          <w:rFonts w:ascii="Calibri" w:hAnsi="Calibri" w:cs="Calibri"/>
          <w:color w:val="FFFFFF" w:themeColor="background1"/>
        </w:rPr>
        <w:t>|</w:t>
      </w:r>
      <w:r w:rsidRPr="006C35C6">
        <w:rPr>
          <w:rFonts w:ascii="Calibri" w:hAnsi="Calibri" w:cs="Calibri"/>
          <w:color w:val="FFFFFF" w:themeColor="background1"/>
        </w:rPr>
        <w:t xml:space="preserve">  Price</w:t>
      </w:r>
      <w:proofErr w:type="gramEnd"/>
      <w:r w:rsidRPr="006C35C6">
        <w:rPr>
          <w:rFonts w:ascii="Calibri" w:hAnsi="Calibri" w:cs="Calibri"/>
          <w:color w:val="FFFFFF" w:themeColor="background1"/>
        </w:rPr>
        <w:t xml:space="preserve"> Target (Base Case): $850–$950</w:t>
      </w:r>
    </w:p>
    <w:p w14:paraId="6315D62D" w14:textId="77777777" w:rsidR="00FA36BF" w:rsidRPr="00A34FA3" w:rsidRDefault="00000000" w:rsidP="00E41EF4">
      <w:pPr>
        <w:pStyle w:val="Heading1"/>
        <w:pBdr>
          <w:bottom w:val="single" w:sz="8" w:space="2" w:color="C8960C"/>
        </w:pBdr>
        <w:rPr>
          <w:rFonts w:ascii="Calibri" w:hAnsi="Calibri" w:cs="Calibri"/>
        </w:rPr>
      </w:pPr>
      <w:r w:rsidRPr="00A34FA3">
        <w:rPr>
          <w:rFonts w:ascii="Calibri" w:hAnsi="Calibri" w:cs="Calibri"/>
        </w:rPr>
        <w:t xml:space="preserve">1. </w:t>
      </w:r>
      <w:r w:rsidRPr="00030F39">
        <w:rPr>
          <w:rFonts w:ascii="Calibri" w:hAnsi="Calibri" w:cs="Calibri"/>
          <w:sz w:val="24"/>
          <w:szCs w:val="24"/>
        </w:rPr>
        <w:t>Executive Summary &amp; Investment Thesis</w:t>
      </w:r>
    </w:p>
    <w:p w14:paraId="57C664DF" w14:textId="304ADBC4" w:rsidR="00FA36BF" w:rsidRPr="00A34FA3" w:rsidRDefault="00000000" w:rsidP="00E41EF4">
      <w:pPr>
        <w:spacing w:before="40" w:after="60"/>
        <w:rPr>
          <w:rFonts w:ascii="Calibri" w:hAnsi="Calibri" w:cs="Calibri"/>
        </w:rPr>
      </w:pPr>
      <w:r w:rsidRPr="00A34FA3">
        <w:rPr>
          <w:rFonts w:ascii="Calibri" w:hAnsi="Calibri" w:cs="Calibri"/>
          <w:sz w:val="19"/>
          <w:szCs w:val="19"/>
        </w:rPr>
        <w:t>Costco Wholesale Corporation (NASDAQ: COST) is a best-in-class warehouse retailer operating on a membership-subsidized, ultra-low-margin merchandise model. Over the five-year period from FY2021 to FY2025, Costco compounded revenue at a 4-year CAGR of 6.6%</w:t>
      </w:r>
      <w:r w:rsidR="00030F39">
        <w:rPr>
          <w:rFonts w:ascii="Calibri" w:hAnsi="Calibri" w:cs="Calibri"/>
          <w:sz w:val="19"/>
          <w:szCs w:val="19"/>
        </w:rPr>
        <w:t xml:space="preserve">, </w:t>
      </w:r>
      <w:r w:rsidRPr="00A34FA3">
        <w:rPr>
          <w:rFonts w:ascii="Calibri" w:hAnsi="Calibri" w:cs="Calibri"/>
          <w:sz w:val="19"/>
          <w:szCs w:val="19"/>
        </w:rPr>
        <w:t>exceeding the 5% benchmark</w:t>
      </w:r>
      <w:r w:rsidR="00030F39">
        <w:rPr>
          <w:rFonts w:ascii="Calibri" w:hAnsi="Calibri" w:cs="Calibri"/>
          <w:sz w:val="19"/>
          <w:szCs w:val="19"/>
        </w:rPr>
        <w:t xml:space="preserve">, </w:t>
      </w:r>
      <w:r w:rsidRPr="00A34FA3">
        <w:rPr>
          <w:rFonts w:ascii="Calibri" w:hAnsi="Calibri" w:cs="Calibri"/>
          <w:sz w:val="19"/>
          <w:szCs w:val="19"/>
        </w:rPr>
        <w:t>and net income at an 11.5% CAGR</w:t>
      </w:r>
      <w:r w:rsidR="00030F39">
        <w:rPr>
          <w:rFonts w:ascii="Calibri" w:hAnsi="Calibri" w:cs="Calibri"/>
          <w:sz w:val="19"/>
          <w:szCs w:val="19"/>
        </w:rPr>
        <w:t xml:space="preserve">, </w:t>
      </w:r>
      <w:r w:rsidRPr="00A34FA3">
        <w:rPr>
          <w:rFonts w:ascii="Calibri" w:hAnsi="Calibri" w:cs="Calibri"/>
          <w:sz w:val="19"/>
          <w:szCs w:val="19"/>
        </w:rPr>
        <w:t xml:space="preserve">comfortably above the 7% benchmark. Free cash flow reached a record $7.84B in FY2025, up 18% year-over-year, with </w:t>
      </w:r>
      <w:proofErr w:type="gramStart"/>
      <w:r w:rsidRPr="00A34FA3">
        <w:rPr>
          <w:rFonts w:ascii="Calibri" w:hAnsi="Calibri" w:cs="Calibri"/>
          <w:sz w:val="19"/>
          <w:szCs w:val="19"/>
        </w:rPr>
        <w:t>a</w:t>
      </w:r>
      <w:proofErr w:type="gramEnd"/>
      <w:r w:rsidRPr="00A34FA3">
        <w:rPr>
          <w:rFonts w:ascii="Calibri" w:hAnsi="Calibri" w:cs="Calibri"/>
          <w:sz w:val="19"/>
          <w:szCs w:val="19"/>
        </w:rPr>
        <w:t xml:space="preserve"> FCF/Net Income conversion ratio of approximately 96%, signalling high earnings quality with minimal accrual risk.</w:t>
      </w:r>
    </w:p>
    <w:p w14:paraId="7118A7C2" w14:textId="4F19D925" w:rsidR="00FA36BF" w:rsidRPr="00A34FA3" w:rsidRDefault="00000000" w:rsidP="00E41EF4">
      <w:pPr>
        <w:spacing w:before="40" w:after="60"/>
        <w:rPr>
          <w:rFonts w:ascii="Calibri" w:hAnsi="Calibri" w:cs="Calibri"/>
        </w:rPr>
      </w:pPr>
      <w:r w:rsidRPr="00A34FA3">
        <w:rPr>
          <w:rFonts w:ascii="Calibri" w:hAnsi="Calibri" w:cs="Calibri"/>
          <w:sz w:val="19"/>
          <w:szCs w:val="19"/>
        </w:rPr>
        <w:t>At a current price of approximately $983, Costco trades at ~51× trailing earnings</w:t>
      </w:r>
      <w:r w:rsidR="00030F39">
        <w:rPr>
          <w:rFonts w:ascii="Calibri" w:hAnsi="Calibri" w:cs="Calibri"/>
          <w:sz w:val="19"/>
          <w:szCs w:val="19"/>
        </w:rPr>
        <w:t xml:space="preserve">, </w:t>
      </w:r>
      <w:r w:rsidRPr="00A34FA3">
        <w:rPr>
          <w:rFonts w:ascii="Calibri" w:hAnsi="Calibri" w:cs="Calibri"/>
          <w:sz w:val="19"/>
          <w:szCs w:val="19"/>
        </w:rPr>
        <w:t>31% above its 10-year historical average P/E of 39× and 2–4× the multiples commanded by retail peers. Our base-case Discounted Cash Flow (DCF) analysis yields an intrinsic value of $850–$950, implying the stock is fairly valued to modestly overvalued at current levels. Only under optimistic assumptions (FCF growth ≥15%, WACC ≤8.5%) does the model justify today's market price.</w:t>
      </w:r>
    </w:p>
    <w:p w14:paraId="59E8BB21" w14:textId="77777777" w:rsidR="00FA36BF" w:rsidRPr="00A34FA3" w:rsidRDefault="00000000" w:rsidP="00E41EF4">
      <w:pPr>
        <w:spacing w:before="40" w:after="60"/>
        <w:rPr>
          <w:rFonts w:ascii="Calibri" w:hAnsi="Calibri" w:cs="Calibri"/>
        </w:rPr>
      </w:pPr>
      <w:r w:rsidRPr="00A34FA3">
        <w:rPr>
          <w:rFonts w:ascii="Calibri" w:hAnsi="Calibri" w:cs="Calibri"/>
          <w:sz w:val="19"/>
          <w:szCs w:val="19"/>
        </w:rPr>
        <w:t>Our investment rating is HOLD for existing shareholders, with a recommendation to Accumulate on Weakness below $900. The quality of the business is exceptional and not in question. What is in question is whether current market pricing already reflects near-perfection.</w:t>
      </w:r>
    </w:p>
    <w:p w14:paraId="505FD25B" w14:textId="632EC15B" w:rsidR="00FA36BF" w:rsidRPr="00030F39" w:rsidRDefault="00000000" w:rsidP="00E41EF4">
      <w:pPr>
        <w:pStyle w:val="Heading1"/>
        <w:pBdr>
          <w:bottom w:val="single" w:sz="8" w:space="2" w:color="C8960C"/>
        </w:pBdr>
        <w:tabs>
          <w:tab w:val="left" w:pos="5565"/>
        </w:tabs>
        <w:rPr>
          <w:rFonts w:ascii="Calibri" w:hAnsi="Calibri" w:cs="Calibri"/>
          <w:sz w:val="24"/>
          <w:szCs w:val="24"/>
        </w:rPr>
      </w:pPr>
      <w:r w:rsidRPr="00030F39">
        <w:rPr>
          <w:rFonts w:ascii="Calibri" w:hAnsi="Calibri" w:cs="Calibri"/>
          <w:sz w:val="24"/>
          <w:szCs w:val="24"/>
        </w:rPr>
        <w:t>2. Business Model &amp; Competitive Advantage</w:t>
      </w:r>
      <w:r w:rsidR="00E41EF4">
        <w:rPr>
          <w:rFonts w:ascii="Calibri" w:hAnsi="Calibri" w:cs="Calibri"/>
          <w:sz w:val="24"/>
          <w:szCs w:val="24"/>
        </w:rPr>
        <w:tab/>
      </w:r>
    </w:p>
    <w:p w14:paraId="0715C015" w14:textId="6245F60F" w:rsidR="00FA36BF" w:rsidRPr="00A34FA3" w:rsidRDefault="00000000" w:rsidP="00E41EF4">
      <w:pPr>
        <w:spacing w:before="40" w:after="60"/>
        <w:rPr>
          <w:rFonts w:ascii="Calibri" w:hAnsi="Calibri" w:cs="Calibri"/>
        </w:rPr>
      </w:pPr>
      <w:r w:rsidRPr="00A34FA3">
        <w:rPr>
          <w:rFonts w:ascii="Calibri" w:hAnsi="Calibri" w:cs="Calibri"/>
          <w:sz w:val="19"/>
          <w:szCs w:val="19"/>
        </w:rPr>
        <w:t xml:space="preserve">Costco's economic moat rests on four interlocking and self-reinforcing pillars that are structurally </w:t>
      </w:r>
      <w:r w:rsidR="00A34FA3" w:rsidRPr="00A34FA3">
        <w:rPr>
          <w:rFonts w:ascii="Calibri" w:hAnsi="Calibri" w:cs="Calibri"/>
          <w:sz w:val="19"/>
          <w:szCs w:val="19"/>
        </w:rPr>
        <w:t>near impossible</w:t>
      </w:r>
      <w:r w:rsidRPr="00A34FA3">
        <w:rPr>
          <w:rFonts w:ascii="Calibri" w:hAnsi="Calibri" w:cs="Calibri"/>
          <w:sz w:val="19"/>
          <w:szCs w:val="19"/>
        </w:rPr>
        <w:t xml:space="preserve"> to replicate at scale.</w:t>
      </w:r>
    </w:p>
    <w:p w14:paraId="6876A2FE" w14:textId="77777777" w:rsidR="00FA36BF" w:rsidRPr="00A34FA3" w:rsidRDefault="00000000" w:rsidP="00E41EF4">
      <w:pPr>
        <w:spacing w:before="120" w:after="60"/>
        <w:rPr>
          <w:rFonts w:ascii="Calibri" w:hAnsi="Calibri" w:cs="Calibri"/>
        </w:rPr>
      </w:pPr>
      <w:r w:rsidRPr="00A34FA3">
        <w:rPr>
          <w:rFonts w:ascii="Calibri" w:hAnsi="Calibri" w:cs="Calibri"/>
          <w:b/>
          <w:bCs/>
        </w:rPr>
        <w:t>Membership Flywheel</w:t>
      </w:r>
    </w:p>
    <w:p w14:paraId="2A57E169" w14:textId="77777777" w:rsidR="00FA36BF" w:rsidRPr="00A34FA3" w:rsidRDefault="00000000" w:rsidP="00E41EF4">
      <w:pPr>
        <w:spacing w:before="40" w:after="60"/>
        <w:rPr>
          <w:rFonts w:ascii="Calibri" w:hAnsi="Calibri" w:cs="Calibri"/>
        </w:rPr>
      </w:pPr>
      <w:r w:rsidRPr="00A34FA3">
        <w:rPr>
          <w:rFonts w:ascii="Calibri" w:hAnsi="Calibri" w:cs="Calibri"/>
          <w:sz w:val="19"/>
          <w:szCs w:val="19"/>
        </w:rPr>
        <w:t>The membership model is the financial bedrock of the entire business. Annual fees generate approximately $7B in near-pure-margin income, funding the ability to price merchandise at deliberately thin margins (branded SKUs capped at ~14% markup; Kirkland Signature at ~15%). The flywheel runs as follows: members pay the fee → Costco caps merchandise margins → members perceive they 'earn back' the fee → 92.1% of US members renew → Costco collects more fee income → prices fall further. This self-reinforcing loop has operated for over 40 years and grows more durable each cycle.</w:t>
      </w:r>
    </w:p>
    <w:p w14:paraId="086F4BA5" w14:textId="77777777" w:rsidR="00FA36BF" w:rsidRPr="00A34FA3" w:rsidRDefault="00000000" w:rsidP="00E41EF4">
      <w:pPr>
        <w:spacing w:before="120" w:after="60"/>
        <w:rPr>
          <w:rFonts w:ascii="Calibri" w:hAnsi="Calibri" w:cs="Calibri"/>
        </w:rPr>
      </w:pPr>
      <w:r w:rsidRPr="00A34FA3">
        <w:rPr>
          <w:rFonts w:ascii="Calibri" w:hAnsi="Calibri" w:cs="Calibri"/>
          <w:b/>
          <w:bCs/>
        </w:rPr>
        <w:t>Low-SKU Strategy &amp; Supplier Power</w:t>
      </w:r>
    </w:p>
    <w:p w14:paraId="30B5ABE5" w14:textId="442203DF" w:rsidR="00FA36BF" w:rsidRPr="00A34FA3" w:rsidRDefault="00000000" w:rsidP="00E41EF4">
      <w:pPr>
        <w:spacing w:before="40" w:after="60"/>
        <w:rPr>
          <w:rFonts w:ascii="Calibri" w:hAnsi="Calibri" w:cs="Calibri"/>
        </w:rPr>
      </w:pPr>
      <w:r w:rsidRPr="00A34FA3">
        <w:rPr>
          <w:rFonts w:ascii="Calibri" w:hAnsi="Calibri" w:cs="Calibri"/>
          <w:sz w:val="19"/>
          <w:szCs w:val="19"/>
        </w:rPr>
        <w:t>With only ~4,000 active SKUs versus 30,000+ at Walmart, Costco concentrates purchasing volume per product to a degree that gives it substantial pricing power over suppliers. At $269.9B in purchasing volume, Costco largely dictates supplier terms</w:t>
      </w:r>
      <w:r w:rsidR="00030F39">
        <w:rPr>
          <w:rFonts w:ascii="Calibri" w:hAnsi="Calibri" w:cs="Calibri"/>
          <w:sz w:val="19"/>
          <w:szCs w:val="19"/>
        </w:rPr>
        <w:t xml:space="preserve">, </w:t>
      </w:r>
      <w:r w:rsidRPr="00A34FA3">
        <w:rPr>
          <w:rFonts w:ascii="Calibri" w:hAnsi="Calibri" w:cs="Calibri"/>
          <w:sz w:val="19"/>
          <w:szCs w:val="19"/>
        </w:rPr>
        <w:t>positioning it favourably on Porter's Five Forces (Supplier Bargaining Power: LOW).</w:t>
      </w:r>
    </w:p>
    <w:p w14:paraId="44903773" w14:textId="77777777" w:rsidR="00FA36BF" w:rsidRPr="00A34FA3" w:rsidRDefault="00000000" w:rsidP="00E41EF4">
      <w:pPr>
        <w:spacing w:before="120" w:after="60"/>
        <w:rPr>
          <w:rFonts w:ascii="Calibri" w:hAnsi="Calibri" w:cs="Calibri"/>
        </w:rPr>
      </w:pPr>
      <w:r w:rsidRPr="00A34FA3">
        <w:rPr>
          <w:rFonts w:ascii="Calibri" w:hAnsi="Calibri" w:cs="Calibri"/>
          <w:b/>
          <w:bCs/>
        </w:rPr>
        <w:t>Kirkland Signature</w:t>
      </w:r>
    </w:p>
    <w:p w14:paraId="6BAC06A6" w14:textId="2F5EBE9F" w:rsidR="00FA36BF" w:rsidRPr="00A34FA3" w:rsidRDefault="00000000" w:rsidP="00E41EF4">
      <w:pPr>
        <w:spacing w:before="40" w:after="60"/>
        <w:rPr>
          <w:rFonts w:ascii="Calibri" w:hAnsi="Calibri" w:cs="Calibri"/>
        </w:rPr>
      </w:pPr>
      <w:r w:rsidRPr="00A34FA3">
        <w:rPr>
          <w:rFonts w:ascii="Calibri" w:hAnsi="Calibri" w:cs="Calibri"/>
          <w:sz w:val="19"/>
          <w:szCs w:val="19"/>
        </w:rPr>
        <w:t>Contributing approximately 30% of total revenue at higher-than-branded margins, Kirkland Signature is Costco's most defensible single asset against digital disruption. Unlike commodity merchandise that can be replicated on Amazon, Kirkland represents trusted quality at below-market prices</w:t>
      </w:r>
      <w:r w:rsidR="00030F39">
        <w:rPr>
          <w:rFonts w:ascii="Calibri" w:hAnsi="Calibri" w:cs="Calibri"/>
          <w:sz w:val="19"/>
          <w:szCs w:val="19"/>
        </w:rPr>
        <w:t xml:space="preserve">, </w:t>
      </w:r>
      <w:r w:rsidRPr="00A34FA3">
        <w:rPr>
          <w:rFonts w:ascii="Calibri" w:hAnsi="Calibri" w:cs="Calibri"/>
          <w:sz w:val="19"/>
          <w:szCs w:val="19"/>
        </w:rPr>
        <w:t>a perception that took decades to build and cannot be quickly disintermediated.</w:t>
      </w:r>
    </w:p>
    <w:p w14:paraId="41880045" w14:textId="77777777" w:rsidR="00FA36BF" w:rsidRPr="00A34FA3" w:rsidRDefault="00000000" w:rsidP="00E41EF4">
      <w:pPr>
        <w:spacing w:before="120" w:after="60"/>
        <w:rPr>
          <w:rFonts w:ascii="Calibri" w:hAnsi="Calibri" w:cs="Calibri"/>
        </w:rPr>
      </w:pPr>
      <w:r w:rsidRPr="00A34FA3">
        <w:rPr>
          <w:rFonts w:ascii="Calibri" w:hAnsi="Calibri" w:cs="Calibri"/>
          <w:b/>
          <w:bCs/>
        </w:rPr>
        <w:t>International Growth &amp; E-Commerce</w:t>
      </w:r>
    </w:p>
    <w:p w14:paraId="197F3B8C" w14:textId="4C4CE975" w:rsidR="00FA36BF" w:rsidRPr="00A34FA3" w:rsidRDefault="00000000" w:rsidP="00E41EF4">
      <w:pPr>
        <w:spacing w:before="40" w:after="60"/>
        <w:rPr>
          <w:rFonts w:ascii="Calibri" w:hAnsi="Calibri" w:cs="Calibri"/>
        </w:rPr>
      </w:pPr>
      <w:r w:rsidRPr="00A34FA3">
        <w:rPr>
          <w:rFonts w:ascii="Calibri" w:hAnsi="Calibri" w:cs="Calibri"/>
          <w:sz w:val="19"/>
          <w:szCs w:val="19"/>
        </w:rPr>
        <w:t>International operations generate ~34% of operating income from only ~27% of sales, implying superior per-unit economics. Markets including France, Spain, and China represent multi-decade expansion runways. Digital comparable sales grew +20.9% in Q2 FY2025 and +15.6% for the full year, though penetration relative to the total member base remains low</w:t>
      </w:r>
      <w:r w:rsidR="00030F39">
        <w:rPr>
          <w:rFonts w:ascii="Calibri" w:hAnsi="Calibri" w:cs="Calibri"/>
          <w:sz w:val="19"/>
          <w:szCs w:val="19"/>
        </w:rPr>
        <w:t xml:space="preserve">, </w:t>
      </w:r>
      <w:r w:rsidRPr="00A34FA3">
        <w:rPr>
          <w:rFonts w:ascii="Calibri" w:hAnsi="Calibri" w:cs="Calibri"/>
          <w:sz w:val="19"/>
          <w:szCs w:val="19"/>
        </w:rPr>
        <w:t>a meaningful growth optionality embedded in the current valuation.</w:t>
      </w:r>
    </w:p>
    <w:p w14:paraId="411C3397"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t>3. Corporate Governance &amp; Capital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A36BF" w:rsidRPr="00A34FA3" w14:paraId="1C100AA7" w14:textId="77777777">
        <w:tc>
          <w:tcPr>
            <w:tcW w:w="320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71F3F780"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Governance Metric</w:t>
            </w:r>
          </w:p>
        </w:tc>
        <w:tc>
          <w:tcPr>
            <w:tcW w:w="61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376AECED"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Detail</w:t>
            </w:r>
          </w:p>
        </w:tc>
      </w:tr>
      <w:tr w:rsidR="00FA36BF" w:rsidRPr="00A34FA3" w14:paraId="76C153EC"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75783E"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Institutional Ownership</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92B89D" w14:textId="77777777" w:rsidR="00FA36BF" w:rsidRPr="00A34FA3" w:rsidRDefault="00000000" w:rsidP="00E41EF4">
            <w:pPr>
              <w:rPr>
                <w:rFonts w:ascii="Calibri" w:hAnsi="Calibri" w:cs="Calibri"/>
              </w:rPr>
            </w:pPr>
            <w:r w:rsidRPr="00A34FA3">
              <w:rPr>
                <w:rFonts w:ascii="Calibri" w:hAnsi="Calibri" w:cs="Calibri"/>
                <w:color w:val="000000"/>
                <w:sz w:val="18"/>
                <w:szCs w:val="18"/>
              </w:rPr>
              <w:t>~68%</w:t>
            </w:r>
          </w:p>
        </w:tc>
      </w:tr>
      <w:tr w:rsidR="00FA36BF" w:rsidRPr="00A34FA3" w14:paraId="23A2511F"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BD6C5C"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Insider Ownership</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F2E75B" w14:textId="7EC43063" w:rsidR="00FA36BF" w:rsidRPr="00A34FA3" w:rsidRDefault="00000000" w:rsidP="00E41EF4">
            <w:pPr>
              <w:rPr>
                <w:rFonts w:ascii="Calibri" w:hAnsi="Calibri" w:cs="Calibri"/>
              </w:rPr>
            </w:pPr>
            <w:r w:rsidRPr="00A34FA3">
              <w:rPr>
                <w:rFonts w:ascii="Calibri" w:hAnsi="Calibri" w:cs="Calibri"/>
                <w:color w:val="000000"/>
                <w:sz w:val="18"/>
                <w:szCs w:val="18"/>
              </w:rPr>
              <w:t>~0.23% (low</w:t>
            </w:r>
            <w:r w:rsidR="00030F39">
              <w:rPr>
                <w:rFonts w:ascii="Calibri" w:hAnsi="Calibri" w:cs="Calibri"/>
                <w:color w:val="000000"/>
                <w:sz w:val="18"/>
                <w:szCs w:val="18"/>
              </w:rPr>
              <w:t xml:space="preserve">, </w:t>
            </w:r>
            <w:r w:rsidRPr="00A34FA3">
              <w:rPr>
                <w:rFonts w:ascii="Calibri" w:hAnsi="Calibri" w:cs="Calibri"/>
                <w:color w:val="000000"/>
                <w:sz w:val="18"/>
                <w:szCs w:val="18"/>
              </w:rPr>
              <w:t>aligned via comp structure)</w:t>
            </w:r>
          </w:p>
        </w:tc>
      </w:tr>
      <w:tr w:rsidR="00FA36BF" w:rsidRPr="00A34FA3" w14:paraId="6977B573"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0EDB8B"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Accounting Restatements</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092FB3" w14:textId="77777777" w:rsidR="00FA36BF" w:rsidRPr="00A34FA3" w:rsidRDefault="00000000" w:rsidP="00E41EF4">
            <w:pPr>
              <w:rPr>
                <w:rFonts w:ascii="Calibri" w:hAnsi="Calibri" w:cs="Calibri"/>
              </w:rPr>
            </w:pPr>
            <w:r w:rsidRPr="00A34FA3">
              <w:rPr>
                <w:rFonts w:ascii="Calibri" w:hAnsi="Calibri" w:cs="Calibri"/>
                <w:color w:val="000000"/>
                <w:sz w:val="18"/>
                <w:szCs w:val="18"/>
              </w:rPr>
              <w:t>None on record</w:t>
            </w:r>
          </w:p>
        </w:tc>
      </w:tr>
      <w:tr w:rsidR="00FA36BF" w:rsidRPr="00A34FA3" w14:paraId="34F3DEC1"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78EB4C"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lastRenderedPageBreak/>
              <w:t>CEO Compensation Link</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E79961" w14:textId="46060A70" w:rsidR="00FA36BF" w:rsidRPr="00A34FA3" w:rsidRDefault="00000000" w:rsidP="00E41EF4">
            <w:pPr>
              <w:rPr>
                <w:rFonts w:ascii="Calibri" w:hAnsi="Calibri" w:cs="Calibri"/>
              </w:rPr>
            </w:pPr>
            <w:r w:rsidRPr="00A34FA3">
              <w:rPr>
                <w:rFonts w:ascii="Calibri" w:hAnsi="Calibri" w:cs="Calibri"/>
                <w:color w:val="000000"/>
                <w:sz w:val="18"/>
                <w:szCs w:val="18"/>
              </w:rPr>
              <w:t>Tied to membership growth and comp sales</w:t>
            </w:r>
            <w:r w:rsidR="00030F39">
              <w:rPr>
                <w:rFonts w:ascii="Calibri" w:hAnsi="Calibri" w:cs="Calibri"/>
                <w:color w:val="000000"/>
                <w:sz w:val="18"/>
                <w:szCs w:val="18"/>
              </w:rPr>
              <w:t xml:space="preserve">, </w:t>
            </w:r>
            <w:r w:rsidRPr="00A34FA3">
              <w:rPr>
                <w:rFonts w:ascii="Calibri" w:hAnsi="Calibri" w:cs="Calibri"/>
                <w:color w:val="000000"/>
                <w:sz w:val="18"/>
                <w:szCs w:val="18"/>
              </w:rPr>
              <w:t>incentives aligned with long-run value creation</w:t>
            </w:r>
          </w:p>
        </w:tc>
      </w:tr>
      <w:tr w:rsidR="00FA36BF" w:rsidRPr="00A34FA3" w14:paraId="067ACF76"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B554A7"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Dividend History</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7D4988" w14:textId="77777777" w:rsidR="00FA36BF" w:rsidRPr="00A34FA3" w:rsidRDefault="00000000" w:rsidP="00E41EF4">
            <w:pPr>
              <w:rPr>
                <w:rFonts w:ascii="Calibri" w:hAnsi="Calibri" w:cs="Calibri"/>
              </w:rPr>
            </w:pPr>
            <w:r w:rsidRPr="00A34FA3">
              <w:rPr>
                <w:rFonts w:ascii="Calibri" w:hAnsi="Calibri" w:cs="Calibri"/>
                <w:color w:val="000000"/>
                <w:sz w:val="18"/>
                <w:szCs w:val="18"/>
              </w:rPr>
              <w:t>20+ consecutive annual increases; 5 special dividends since 2013</w:t>
            </w:r>
          </w:p>
        </w:tc>
      </w:tr>
      <w:tr w:rsidR="00FA36BF" w:rsidRPr="00A34FA3" w14:paraId="6234CDFE"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75884F"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Audit / Board Risk Score</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FAF925" w14:textId="77777777" w:rsidR="00FA36BF" w:rsidRPr="00A34FA3" w:rsidRDefault="00000000" w:rsidP="00E41EF4">
            <w:pPr>
              <w:rPr>
                <w:rFonts w:ascii="Calibri" w:hAnsi="Calibri" w:cs="Calibri"/>
              </w:rPr>
            </w:pPr>
            <w:r w:rsidRPr="00A34FA3">
              <w:rPr>
                <w:rFonts w:ascii="Calibri" w:hAnsi="Calibri" w:cs="Calibri"/>
                <w:color w:val="000000"/>
                <w:sz w:val="18"/>
                <w:szCs w:val="18"/>
              </w:rPr>
              <w:t>Low (1/10 on internal risk scorecard)</w:t>
            </w:r>
          </w:p>
        </w:tc>
      </w:tr>
      <w:tr w:rsidR="00FA36BF" w:rsidRPr="00A34FA3" w14:paraId="38325DC1"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CF630A"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Special Dividend (Jan 2024)</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174157" w14:textId="42C2CD30" w:rsidR="00FA36BF" w:rsidRPr="00A34FA3" w:rsidRDefault="00000000" w:rsidP="00E41EF4">
            <w:pPr>
              <w:rPr>
                <w:rFonts w:ascii="Calibri" w:hAnsi="Calibri" w:cs="Calibri"/>
              </w:rPr>
            </w:pPr>
            <w:r w:rsidRPr="00A34FA3">
              <w:rPr>
                <w:rFonts w:ascii="Calibri" w:hAnsi="Calibri" w:cs="Calibri"/>
                <w:color w:val="000000"/>
                <w:sz w:val="18"/>
                <w:szCs w:val="18"/>
              </w:rPr>
              <w:t>$15.00/share</w:t>
            </w:r>
            <w:r w:rsidR="00030F39">
              <w:rPr>
                <w:rFonts w:ascii="Calibri" w:hAnsi="Calibri" w:cs="Calibri"/>
                <w:color w:val="000000"/>
                <w:sz w:val="18"/>
                <w:szCs w:val="18"/>
              </w:rPr>
              <w:t xml:space="preserve">, </w:t>
            </w:r>
            <w:r w:rsidRPr="00A34FA3">
              <w:rPr>
                <w:rFonts w:ascii="Calibri" w:hAnsi="Calibri" w:cs="Calibri"/>
                <w:color w:val="000000"/>
                <w:sz w:val="18"/>
                <w:szCs w:val="18"/>
              </w:rPr>
              <w:t>next cycle estimated $15–20/share (2026–2027)</w:t>
            </w:r>
          </w:p>
        </w:tc>
      </w:tr>
      <w:tr w:rsidR="00FA36BF" w:rsidRPr="00A34FA3" w14:paraId="2273C019"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4382F6"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Share Buybacks (FY2025)</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040D01" w14:textId="18FA38BA" w:rsidR="00FA36BF" w:rsidRPr="00A34FA3" w:rsidRDefault="00000000" w:rsidP="00E41EF4">
            <w:pPr>
              <w:rPr>
                <w:rFonts w:ascii="Calibri" w:hAnsi="Calibri" w:cs="Calibri"/>
              </w:rPr>
            </w:pPr>
            <w:r w:rsidRPr="00A34FA3">
              <w:rPr>
                <w:rFonts w:ascii="Calibri" w:hAnsi="Calibri" w:cs="Calibri"/>
                <w:color w:val="000000"/>
                <w:sz w:val="18"/>
                <w:szCs w:val="18"/>
              </w:rPr>
              <w:t>$903M</w:t>
            </w:r>
            <w:r w:rsidR="00030F39">
              <w:rPr>
                <w:rFonts w:ascii="Calibri" w:hAnsi="Calibri" w:cs="Calibri"/>
                <w:color w:val="000000"/>
                <w:sz w:val="18"/>
                <w:szCs w:val="18"/>
              </w:rPr>
              <w:t xml:space="preserve">, </w:t>
            </w:r>
            <w:r w:rsidRPr="00A34FA3">
              <w:rPr>
                <w:rFonts w:ascii="Calibri" w:hAnsi="Calibri" w:cs="Calibri"/>
                <w:color w:val="000000"/>
                <w:sz w:val="18"/>
                <w:szCs w:val="18"/>
              </w:rPr>
              <w:t>disciplined, not value-destructive at these multiples</w:t>
            </w:r>
          </w:p>
        </w:tc>
      </w:tr>
      <w:tr w:rsidR="00FA36BF" w:rsidRPr="00A34FA3" w14:paraId="30694C46"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9D45AA"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ROIC (FY2025)</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8668A5" w14:textId="223D5110" w:rsidR="00FA36BF" w:rsidRPr="00A34FA3" w:rsidRDefault="00000000" w:rsidP="00E41EF4">
            <w:pPr>
              <w:rPr>
                <w:rFonts w:ascii="Calibri" w:hAnsi="Calibri" w:cs="Calibri"/>
              </w:rPr>
            </w:pPr>
            <w:r w:rsidRPr="00A34FA3">
              <w:rPr>
                <w:rFonts w:ascii="Calibri" w:hAnsi="Calibri" w:cs="Calibri"/>
                <w:color w:val="000000"/>
                <w:sz w:val="18"/>
                <w:szCs w:val="18"/>
              </w:rPr>
              <w:t>37.8%</w:t>
            </w:r>
            <w:r w:rsidR="00030F39">
              <w:rPr>
                <w:rFonts w:ascii="Calibri" w:hAnsi="Calibri" w:cs="Calibri"/>
                <w:color w:val="000000"/>
                <w:sz w:val="18"/>
                <w:szCs w:val="18"/>
              </w:rPr>
              <w:t xml:space="preserve">, </w:t>
            </w:r>
            <w:r w:rsidRPr="00A34FA3">
              <w:rPr>
                <w:rFonts w:ascii="Calibri" w:hAnsi="Calibri" w:cs="Calibri"/>
                <w:color w:val="000000"/>
                <w:sz w:val="18"/>
                <w:szCs w:val="18"/>
              </w:rPr>
              <w:t>materially above WACC (~9%), strong value creation</w:t>
            </w:r>
          </w:p>
        </w:tc>
      </w:tr>
    </w:tbl>
    <w:p w14:paraId="529FD419" w14:textId="77777777" w:rsidR="00FA36BF" w:rsidRPr="00A34FA3" w:rsidRDefault="00FA36BF" w:rsidP="00E41EF4">
      <w:pPr>
        <w:spacing w:before="80"/>
        <w:rPr>
          <w:rFonts w:ascii="Calibri" w:hAnsi="Calibri" w:cs="Calibri"/>
        </w:rPr>
      </w:pPr>
    </w:p>
    <w:p w14:paraId="73136C88" w14:textId="0BF4E896" w:rsidR="00FA36BF" w:rsidRPr="00A34FA3" w:rsidRDefault="00000000" w:rsidP="00E41EF4">
      <w:pPr>
        <w:spacing w:before="40" w:after="60"/>
        <w:rPr>
          <w:rFonts w:ascii="Calibri" w:hAnsi="Calibri" w:cs="Calibri"/>
        </w:rPr>
      </w:pPr>
      <w:r w:rsidRPr="00A34FA3">
        <w:rPr>
          <w:rFonts w:ascii="Calibri" w:hAnsi="Calibri" w:cs="Calibri"/>
          <w:sz w:val="19"/>
          <w:szCs w:val="19"/>
        </w:rPr>
        <w:t>Management's track record of capital allocation is one of the strongest in large-cap retail. The lack of accounting restatements and the consistent linkage of executive compensation to operational metrics rather than short-term earnings manipulation are meaningful positives. The slight insider ownership figure (0.23%) is a standard characteristic of large-cap consumer staples and is offset by the incentive structure.</w:t>
      </w:r>
    </w:p>
    <w:p w14:paraId="4B378F99"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t>4. Industry Analysis &amp; Critical Risk Factors</w:t>
      </w:r>
    </w:p>
    <w:p w14:paraId="2D8CB387" w14:textId="77777777" w:rsidR="00FA36BF" w:rsidRPr="00A34FA3" w:rsidRDefault="00000000" w:rsidP="00E41EF4">
      <w:pPr>
        <w:pStyle w:val="Heading2"/>
        <w:rPr>
          <w:rFonts w:ascii="Calibri" w:hAnsi="Calibri" w:cs="Calibri"/>
        </w:rPr>
      </w:pPr>
      <w:r w:rsidRPr="00A34FA3">
        <w:rPr>
          <w:rFonts w:ascii="Calibri" w:hAnsi="Calibri" w:cs="Calibri"/>
        </w:rPr>
        <w:t>4.1 Industry Attractiveness</w:t>
      </w:r>
    </w:p>
    <w:p w14:paraId="09D01ECF" w14:textId="77777777" w:rsidR="00FA36BF" w:rsidRPr="00A34FA3" w:rsidRDefault="00000000" w:rsidP="00E41EF4">
      <w:pPr>
        <w:spacing w:before="40" w:after="60"/>
        <w:rPr>
          <w:rFonts w:ascii="Calibri" w:hAnsi="Calibri" w:cs="Calibri"/>
        </w:rPr>
      </w:pPr>
      <w:r w:rsidRPr="00A34FA3">
        <w:rPr>
          <w:rFonts w:ascii="Calibri" w:hAnsi="Calibri" w:cs="Calibri"/>
          <w:sz w:val="19"/>
          <w:szCs w:val="19"/>
        </w:rPr>
        <w:t>The warehouse club segment is structurally attractive relative to broader retail: barriers to entry are high (Costco's 46% US market share reflects 25+ years of capital investment, member trust, and operational discipline), and the membership model insulates revenue from short-term consumer spending volatility. Porter's Five Forces analysis reveals two LOW-force categories (new entrants, supplier power) against three MEDIUM-force categories (buyer power, substitutes, rivalry). This is an above-average industry structure, and Costco commands it from the dominant market position.</w:t>
      </w:r>
    </w:p>
    <w:p w14:paraId="103A99BC" w14:textId="77777777" w:rsidR="00FA36BF" w:rsidRPr="00A34FA3" w:rsidRDefault="00000000" w:rsidP="00E41EF4">
      <w:pPr>
        <w:pStyle w:val="Heading2"/>
        <w:rPr>
          <w:rFonts w:ascii="Calibri" w:hAnsi="Calibri" w:cs="Calibri"/>
        </w:rPr>
      </w:pPr>
      <w:r w:rsidRPr="00A34FA3">
        <w:rPr>
          <w:rFonts w:ascii="Calibri" w:hAnsi="Calibri" w:cs="Calibri"/>
        </w:rPr>
        <w:t>4.2 Critical Risk Factors</w:t>
      </w:r>
    </w:p>
    <w:p w14:paraId="33286D0E" w14:textId="49D13B4E"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Valuation Risk (High): At 51× trailing P/E</w:t>
      </w:r>
      <w:r w:rsidR="00030F39">
        <w:rPr>
          <w:rFonts w:ascii="Calibri" w:hAnsi="Calibri" w:cs="Calibri"/>
          <w:sz w:val="19"/>
          <w:szCs w:val="19"/>
        </w:rPr>
        <w:t xml:space="preserve">, </w:t>
      </w:r>
      <w:r w:rsidRPr="00A34FA3">
        <w:rPr>
          <w:rFonts w:ascii="Calibri" w:hAnsi="Calibri" w:cs="Calibri"/>
          <w:sz w:val="19"/>
          <w:szCs w:val="19"/>
        </w:rPr>
        <w:t>31% above the 10-year average</w:t>
      </w:r>
      <w:r w:rsidR="00030F39">
        <w:rPr>
          <w:rFonts w:ascii="Calibri" w:hAnsi="Calibri" w:cs="Calibri"/>
          <w:sz w:val="19"/>
          <w:szCs w:val="19"/>
        </w:rPr>
        <w:t xml:space="preserve">, </w:t>
      </w:r>
      <w:r w:rsidRPr="00A34FA3">
        <w:rPr>
          <w:rFonts w:ascii="Calibri" w:hAnsi="Calibri" w:cs="Calibri"/>
          <w:sz w:val="19"/>
          <w:szCs w:val="19"/>
        </w:rPr>
        <w:t>any earnings miss or sentiment shift could trigger meaningful multiple compression. Reverting to the 10-year average P/E alone implies approximately 24% downside with no change in earnings.</w:t>
      </w:r>
    </w:p>
    <w:p w14:paraId="30EC8EEC"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Tariff &amp; Supply Chain Risk (Medium-High): CFO commentary in Q2 FY2025 flagged that grocery margins are 'much tighter' due to import tariff escalation. Further escalation on China-sourced goods would impair the Kirkland Signature supply chain and structurally threaten Costco's core low-price promise.</w:t>
      </w:r>
    </w:p>
    <w:p w14:paraId="7E33CF98"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Membership Renewal Erosion (Medium-High): US renewal rate declined marginally from 93% to 92.1%. The entire financial model is subsidized by fee income. A sustained decline below 90% would fundamentally impair the operating leverage underpinning the investment thesis.</w:t>
      </w:r>
    </w:p>
    <w:p w14:paraId="24AFEE96"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E-Commerce &amp; Amazon Rivalry (Medium): Amazon Prime + Whole Foods continues converging on Costco's value proposition, particularly for urban members. Digital penetration growth at Costco offsets this partially, but it remains a structural long-run threat.</w:t>
      </w:r>
    </w:p>
    <w:p w14:paraId="0C60A76B" w14:textId="0913D340"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Interest Rate / WACC Shock (Black Swan): Monte Carlo variance attribution identifies WACC as the single largest driver of intrinsic value (66.7% of variance). A WACC increase from 9% to 11% reduces base-case intrinsic value by approximately $130/share</w:t>
      </w:r>
      <w:r w:rsidR="00030F39">
        <w:rPr>
          <w:rFonts w:ascii="Calibri" w:hAnsi="Calibri" w:cs="Calibri"/>
          <w:sz w:val="19"/>
          <w:szCs w:val="19"/>
        </w:rPr>
        <w:t xml:space="preserve">, </w:t>
      </w:r>
      <w:r w:rsidRPr="00A34FA3">
        <w:rPr>
          <w:rFonts w:ascii="Calibri" w:hAnsi="Calibri" w:cs="Calibri"/>
          <w:sz w:val="19"/>
          <w:szCs w:val="19"/>
        </w:rPr>
        <w:t>pushing the stock into materially overvalued territory under nearly all scenarios.</w:t>
      </w:r>
    </w:p>
    <w:p w14:paraId="7A3F3C81" w14:textId="2BBAD5A2" w:rsidR="00FA36BF" w:rsidRPr="00A34FA3" w:rsidRDefault="00A34FA3" w:rsidP="00E41EF4">
      <w:pPr>
        <w:rPr>
          <w:rFonts w:ascii="Calibri" w:hAnsi="Calibri" w:cs="Calibri"/>
        </w:rPr>
      </w:pPr>
      <w:r w:rsidRPr="00A34FA3">
        <w:rPr>
          <w:rFonts w:ascii="Calibri" w:hAnsi="Calibri" w:cs="Calibri"/>
        </w:rPr>
        <w:br w:type="page"/>
      </w:r>
    </w:p>
    <w:p w14:paraId="65726990"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lastRenderedPageBreak/>
        <w:t>5. Financial Statement Analysis</w:t>
      </w:r>
    </w:p>
    <w:p w14:paraId="714898D8" w14:textId="77777777" w:rsidR="00FA36BF" w:rsidRPr="00A34FA3" w:rsidRDefault="00000000" w:rsidP="00E41EF4">
      <w:pPr>
        <w:pStyle w:val="Heading2"/>
        <w:rPr>
          <w:rFonts w:ascii="Calibri" w:hAnsi="Calibri" w:cs="Calibri"/>
        </w:rPr>
      </w:pPr>
      <w:r w:rsidRPr="00A34FA3">
        <w:rPr>
          <w:rFonts w:ascii="Calibri" w:hAnsi="Calibri" w:cs="Calibri"/>
        </w:rPr>
        <w:t>5.1 Income Statement, FCF &amp; Capital Efficiency (FY2021–FY2025)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A36BF" w:rsidRPr="00A34FA3" w14:paraId="364124A6" w14:textId="77777777">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091C8704"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Metric</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26745156"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FY2021</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57612283"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FY2022</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4475E65D"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FY2023</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7A135167"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FY2024</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5226D188"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FY2025</w:t>
            </w:r>
          </w:p>
        </w:tc>
      </w:tr>
      <w:tr w:rsidR="00FA36BF" w:rsidRPr="00A34FA3" w14:paraId="12E73682"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27D0C3"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Revenue ($B)</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80CE97" w14:textId="77777777" w:rsidR="00FA36BF" w:rsidRPr="00A34FA3" w:rsidRDefault="00000000" w:rsidP="00E41EF4">
            <w:pPr>
              <w:rPr>
                <w:rFonts w:ascii="Calibri" w:hAnsi="Calibri" w:cs="Calibri"/>
              </w:rPr>
            </w:pPr>
            <w:r w:rsidRPr="00A34FA3">
              <w:rPr>
                <w:rFonts w:ascii="Calibri" w:hAnsi="Calibri" w:cs="Calibri"/>
                <w:color w:val="000000"/>
                <w:sz w:val="17"/>
                <w:szCs w:val="17"/>
              </w:rPr>
              <w:t>$192.1</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82332C" w14:textId="77777777" w:rsidR="00FA36BF" w:rsidRPr="00A34FA3" w:rsidRDefault="00000000" w:rsidP="00E41EF4">
            <w:pPr>
              <w:rPr>
                <w:rFonts w:ascii="Calibri" w:hAnsi="Calibri" w:cs="Calibri"/>
              </w:rPr>
            </w:pPr>
            <w:r w:rsidRPr="00A34FA3">
              <w:rPr>
                <w:rFonts w:ascii="Calibri" w:hAnsi="Calibri" w:cs="Calibri"/>
                <w:color w:val="000000"/>
                <w:sz w:val="17"/>
                <w:szCs w:val="17"/>
              </w:rPr>
              <w:t>$222.7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F2014A" w14:textId="77777777" w:rsidR="00FA36BF" w:rsidRPr="00A34FA3" w:rsidRDefault="00000000" w:rsidP="00E41EF4">
            <w:pPr>
              <w:rPr>
                <w:rFonts w:ascii="Calibri" w:hAnsi="Calibri" w:cs="Calibri"/>
              </w:rPr>
            </w:pPr>
            <w:r w:rsidRPr="00A34FA3">
              <w:rPr>
                <w:rFonts w:ascii="Calibri" w:hAnsi="Calibri" w:cs="Calibri"/>
                <w:color w:val="000000"/>
                <w:sz w:val="17"/>
                <w:szCs w:val="17"/>
              </w:rPr>
              <w:t>$242.3</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2859B6" w14:textId="77777777" w:rsidR="00FA36BF" w:rsidRPr="00A34FA3" w:rsidRDefault="00000000" w:rsidP="00E41EF4">
            <w:pPr>
              <w:rPr>
                <w:rFonts w:ascii="Calibri" w:hAnsi="Calibri" w:cs="Calibri"/>
              </w:rPr>
            </w:pPr>
            <w:r w:rsidRPr="00A34FA3">
              <w:rPr>
                <w:rFonts w:ascii="Calibri" w:hAnsi="Calibri" w:cs="Calibri"/>
                <w:color w:val="000000"/>
                <w:sz w:val="17"/>
                <w:szCs w:val="17"/>
              </w:rPr>
              <w:t>$249.6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066F42" w14:textId="77777777" w:rsidR="00FA36BF" w:rsidRPr="00A34FA3" w:rsidRDefault="00000000" w:rsidP="00E41EF4">
            <w:pPr>
              <w:rPr>
                <w:rFonts w:ascii="Calibri" w:hAnsi="Calibri" w:cs="Calibri"/>
              </w:rPr>
            </w:pPr>
            <w:r w:rsidRPr="00A34FA3">
              <w:rPr>
                <w:rFonts w:ascii="Calibri" w:hAnsi="Calibri" w:cs="Calibri"/>
                <w:color w:val="000000"/>
                <w:sz w:val="17"/>
                <w:szCs w:val="17"/>
              </w:rPr>
              <w:t>$269.9</w:t>
            </w:r>
          </w:p>
        </w:tc>
      </w:tr>
      <w:tr w:rsidR="00FA36BF" w:rsidRPr="00A34FA3" w14:paraId="088B522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22D2B2"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Net Income ($B)</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F9DCB8" w14:textId="77777777" w:rsidR="00FA36BF" w:rsidRPr="00A34FA3" w:rsidRDefault="00000000" w:rsidP="00E41EF4">
            <w:pPr>
              <w:rPr>
                <w:rFonts w:ascii="Calibri" w:hAnsi="Calibri" w:cs="Calibri"/>
              </w:rPr>
            </w:pPr>
            <w:r w:rsidRPr="00A34FA3">
              <w:rPr>
                <w:rFonts w:ascii="Calibri" w:hAnsi="Calibri" w:cs="Calibri"/>
                <w:color w:val="000000"/>
                <w:sz w:val="17"/>
                <w:szCs w:val="17"/>
              </w:rPr>
              <w:t>$5.01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54175" w14:textId="77777777" w:rsidR="00FA36BF" w:rsidRPr="00A34FA3" w:rsidRDefault="00000000" w:rsidP="00E41EF4">
            <w:pPr>
              <w:rPr>
                <w:rFonts w:ascii="Calibri" w:hAnsi="Calibri" w:cs="Calibri"/>
              </w:rPr>
            </w:pPr>
            <w:r w:rsidRPr="00A34FA3">
              <w:rPr>
                <w:rFonts w:ascii="Calibri" w:hAnsi="Calibri" w:cs="Calibri"/>
                <w:color w:val="000000"/>
                <w:sz w:val="17"/>
                <w:szCs w:val="17"/>
              </w:rPr>
              <w:t>$5.84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FCEB57" w14:textId="77777777" w:rsidR="00FA36BF" w:rsidRPr="00A34FA3" w:rsidRDefault="00000000" w:rsidP="00E41EF4">
            <w:pPr>
              <w:rPr>
                <w:rFonts w:ascii="Calibri" w:hAnsi="Calibri" w:cs="Calibri"/>
              </w:rPr>
            </w:pPr>
            <w:r w:rsidRPr="00A34FA3">
              <w:rPr>
                <w:rFonts w:ascii="Calibri" w:hAnsi="Calibri" w:cs="Calibri"/>
                <w:color w:val="000000"/>
                <w:sz w:val="17"/>
                <w:szCs w:val="17"/>
              </w:rPr>
              <w:t>$6.29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DD272B" w14:textId="77777777" w:rsidR="00FA36BF" w:rsidRPr="00A34FA3" w:rsidRDefault="00000000" w:rsidP="00E41EF4">
            <w:pPr>
              <w:rPr>
                <w:rFonts w:ascii="Calibri" w:hAnsi="Calibri" w:cs="Calibri"/>
              </w:rPr>
            </w:pPr>
            <w:r w:rsidRPr="00A34FA3">
              <w:rPr>
                <w:rFonts w:ascii="Calibri" w:hAnsi="Calibri" w:cs="Calibri"/>
                <w:color w:val="000000"/>
                <w:sz w:val="17"/>
                <w:szCs w:val="17"/>
              </w:rPr>
              <w:t>$7.37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49028" w14:textId="77777777" w:rsidR="00FA36BF" w:rsidRPr="00A34FA3" w:rsidRDefault="00000000" w:rsidP="00E41EF4">
            <w:pPr>
              <w:rPr>
                <w:rFonts w:ascii="Calibri" w:hAnsi="Calibri" w:cs="Calibri"/>
              </w:rPr>
            </w:pPr>
            <w:r w:rsidRPr="00A34FA3">
              <w:rPr>
                <w:rFonts w:ascii="Calibri" w:hAnsi="Calibri" w:cs="Calibri"/>
                <w:color w:val="000000"/>
                <w:sz w:val="17"/>
                <w:szCs w:val="17"/>
              </w:rPr>
              <w:t>~$8.0</w:t>
            </w:r>
          </w:p>
        </w:tc>
      </w:tr>
      <w:tr w:rsidR="00FA36BF" w:rsidRPr="00A34FA3" w14:paraId="7C8F7971"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DC8E18"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EPS</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441154" w14:textId="77777777" w:rsidR="00FA36BF" w:rsidRPr="00A34FA3" w:rsidRDefault="00000000" w:rsidP="00E41EF4">
            <w:pPr>
              <w:rPr>
                <w:rFonts w:ascii="Calibri" w:hAnsi="Calibri" w:cs="Calibri"/>
              </w:rPr>
            </w:pPr>
            <w:r w:rsidRPr="00A34FA3">
              <w:rPr>
                <w:rFonts w:ascii="Calibri" w:hAnsi="Calibri" w:cs="Calibri"/>
                <w:color w:val="000000"/>
                <w:sz w:val="17"/>
                <w:szCs w:val="17"/>
              </w:rPr>
              <w:t>$11.27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59787E" w14:textId="77777777" w:rsidR="00FA36BF" w:rsidRPr="00A34FA3" w:rsidRDefault="00000000" w:rsidP="00E41EF4">
            <w:pPr>
              <w:rPr>
                <w:rFonts w:ascii="Calibri" w:hAnsi="Calibri" w:cs="Calibri"/>
              </w:rPr>
            </w:pPr>
            <w:r w:rsidRPr="00A34FA3">
              <w:rPr>
                <w:rFonts w:ascii="Calibri" w:hAnsi="Calibri" w:cs="Calibri"/>
                <w:color w:val="000000"/>
                <w:sz w:val="17"/>
                <w:szCs w:val="17"/>
              </w:rPr>
              <w:t>$13.14</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703D5C" w14:textId="77777777" w:rsidR="00FA36BF" w:rsidRPr="00A34FA3" w:rsidRDefault="00000000" w:rsidP="00E41EF4">
            <w:pPr>
              <w:rPr>
                <w:rFonts w:ascii="Calibri" w:hAnsi="Calibri" w:cs="Calibri"/>
              </w:rPr>
            </w:pPr>
            <w:r w:rsidRPr="00A34FA3">
              <w:rPr>
                <w:rFonts w:ascii="Calibri" w:hAnsi="Calibri" w:cs="Calibri"/>
                <w:color w:val="000000"/>
                <w:sz w:val="17"/>
                <w:szCs w:val="17"/>
              </w:rPr>
              <w:t>$14.16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EEC61E" w14:textId="77777777" w:rsidR="00FA36BF" w:rsidRPr="00A34FA3" w:rsidRDefault="00000000" w:rsidP="00E41EF4">
            <w:pPr>
              <w:rPr>
                <w:rFonts w:ascii="Calibri" w:hAnsi="Calibri" w:cs="Calibri"/>
              </w:rPr>
            </w:pPr>
            <w:r w:rsidRPr="00A34FA3">
              <w:rPr>
                <w:rFonts w:ascii="Calibri" w:hAnsi="Calibri" w:cs="Calibri"/>
                <w:color w:val="000000"/>
                <w:sz w:val="17"/>
                <w:szCs w:val="17"/>
              </w:rPr>
              <w:t>$16.56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33429E" w14:textId="77777777" w:rsidR="00FA36BF" w:rsidRPr="00A34FA3" w:rsidRDefault="00000000" w:rsidP="00E41EF4">
            <w:pPr>
              <w:rPr>
                <w:rFonts w:ascii="Calibri" w:hAnsi="Calibri" w:cs="Calibri"/>
              </w:rPr>
            </w:pPr>
            <w:r w:rsidRPr="00A34FA3">
              <w:rPr>
                <w:rFonts w:ascii="Calibri" w:hAnsi="Calibri" w:cs="Calibri"/>
                <w:color w:val="000000"/>
                <w:sz w:val="17"/>
                <w:szCs w:val="17"/>
              </w:rPr>
              <w:t>~$18.05</w:t>
            </w:r>
          </w:p>
        </w:tc>
      </w:tr>
      <w:tr w:rsidR="00FA36BF" w:rsidRPr="00A34FA3" w14:paraId="3ECC4A1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2E049"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FCF ($B)</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D30A4A" w14:textId="77777777" w:rsidR="00FA36BF" w:rsidRPr="00A34FA3" w:rsidRDefault="00000000" w:rsidP="00E41EF4">
            <w:pPr>
              <w:rPr>
                <w:rFonts w:ascii="Calibri" w:hAnsi="Calibri" w:cs="Calibri"/>
              </w:rPr>
            </w:pPr>
            <w:r w:rsidRPr="00A34FA3">
              <w:rPr>
                <w:rFonts w:ascii="Calibri" w:hAnsi="Calibri" w:cs="Calibri"/>
                <w:color w:val="000000"/>
                <w:sz w:val="17"/>
                <w:szCs w:val="17"/>
              </w:rPr>
              <w:t>$5.37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3E9471" w14:textId="77777777" w:rsidR="00FA36BF" w:rsidRPr="00A34FA3" w:rsidRDefault="00000000" w:rsidP="00E41EF4">
            <w:pPr>
              <w:rPr>
                <w:rFonts w:ascii="Calibri" w:hAnsi="Calibri" w:cs="Calibri"/>
              </w:rPr>
            </w:pPr>
            <w:r w:rsidRPr="00A34FA3">
              <w:rPr>
                <w:rFonts w:ascii="Calibri" w:hAnsi="Calibri" w:cs="Calibri"/>
                <w:color w:val="000000"/>
                <w:sz w:val="17"/>
                <w:szCs w:val="17"/>
              </w:rPr>
              <w:t>$3.50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D1B1E8" w14:textId="77777777" w:rsidR="00FA36BF" w:rsidRPr="00A34FA3" w:rsidRDefault="00000000" w:rsidP="00E41EF4">
            <w:pPr>
              <w:rPr>
                <w:rFonts w:ascii="Calibri" w:hAnsi="Calibri" w:cs="Calibri"/>
              </w:rPr>
            </w:pPr>
            <w:r w:rsidRPr="00A34FA3">
              <w:rPr>
                <w:rFonts w:ascii="Calibri" w:hAnsi="Calibri" w:cs="Calibri"/>
                <w:color w:val="000000"/>
                <w:sz w:val="17"/>
                <w:szCs w:val="17"/>
              </w:rPr>
              <w:t>$6.75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A2D8B1" w14:textId="77777777" w:rsidR="00FA36BF" w:rsidRPr="00A34FA3" w:rsidRDefault="00000000" w:rsidP="00E41EF4">
            <w:pPr>
              <w:rPr>
                <w:rFonts w:ascii="Calibri" w:hAnsi="Calibri" w:cs="Calibri"/>
              </w:rPr>
            </w:pPr>
            <w:r w:rsidRPr="00A34FA3">
              <w:rPr>
                <w:rFonts w:ascii="Calibri" w:hAnsi="Calibri" w:cs="Calibri"/>
                <w:color w:val="000000"/>
                <w:sz w:val="17"/>
                <w:szCs w:val="17"/>
              </w:rPr>
              <w:t>$6.63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5FB5C0" w14:textId="77777777" w:rsidR="00FA36BF" w:rsidRPr="00A34FA3" w:rsidRDefault="00000000" w:rsidP="00E41EF4">
            <w:pPr>
              <w:rPr>
                <w:rFonts w:ascii="Calibri" w:hAnsi="Calibri" w:cs="Calibri"/>
              </w:rPr>
            </w:pPr>
            <w:r w:rsidRPr="00A34FA3">
              <w:rPr>
                <w:rFonts w:ascii="Calibri" w:hAnsi="Calibri" w:cs="Calibri"/>
                <w:color w:val="000000"/>
                <w:sz w:val="17"/>
                <w:szCs w:val="17"/>
              </w:rPr>
              <w:t>$7.84</w:t>
            </w:r>
          </w:p>
        </w:tc>
      </w:tr>
      <w:tr w:rsidR="00FA36BF" w:rsidRPr="00A34FA3" w14:paraId="30867D48"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441054"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Gross Margin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333F88" w14:textId="77777777" w:rsidR="00FA36BF" w:rsidRPr="00A34FA3" w:rsidRDefault="00000000" w:rsidP="00E41EF4">
            <w:pPr>
              <w:rPr>
                <w:rFonts w:ascii="Calibri" w:hAnsi="Calibri" w:cs="Calibri"/>
              </w:rPr>
            </w:pPr>
            <w:r w:rsidRPr="00A34FA3">
              <w:rPr>
                <w:rFonts w:ascii="Calibri" w:hAnsi="Calibri" w:cs="Calibri"/>
                <w:color w:val="000000"/>
                <w:sz w:val="17"/>
                <w:szCs w:val="17"/>
              </w:rPr>
              <w:t>12.5%</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191627" w14:textId="77777777" w:rsidR="00FA36BF" w:rsidRPr="00A34FA3" w:rsidRDefault="00000000" w:rsidP="00E41EF4">
            <w:pPr>
              <w:rPr>
                <w:rFonts w:ascii="Calibri" w:hAnsi="Calibri" w:cs="Calibri"/>
              </w:rPr>
            </w:pPr>
            <w:r w:rsidRPr="00A34FA3">
              <w:rPr>
                <w:rFonts w:ascii="Calibri" w:hAnsi="Calibri" w:cs="Calibri"/>
                <w:color w:val="000000"/>
                <w:sz w:val="17"/>
                <w:szCs w:val="17"/>
              </w:rPr>
              <w:t>12.3%</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73B686" w14:textId="77777777" w:rsidR="00FA36BF" w:rsidRPr="00A34FA3" w:rsidRDefault="00000000" w:rsidP="00E41EF4">
            <w:pPr>
              <w:rPr>
                <w:rFonts w:ascii="Calibri" w:hAnsi="Calibri" w:cs="Calibri"/>
              </w:rPr>
            </w:pPr>
            <w:r w:rsidRPr="00A34FA3">
              <w:rPr>
                <w:rFonts w:ascii="Calibri" w:hAnsi="Calibri" w:cs="Calibri"/>
                <w:color w:val="000000"/>
                <w:sz w:val="17"/>
                <w:szCs w:val="17"/>
              </w:rPr>
              <w:t>12.6%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2E2326" w14:textId="77777777" w:rsidR="00FA36BF" w:rsidRPr="00A34FA3" w:rsidRDefault="00000000" w:rsidP="00E41EF4">
            <w:pPr>
              <w:rPr>
                <w:rFonts w:ascii="Calibri" w:hAnsi="Calibri" w:cs="Calibri"/>
              </w:rPr>
            </w:pPr>
            <w:r w:rsidRPr="00A34FA3">
              <w:rPr>
                <w:rFonts w:ascii="Calibri" w:hAnsi="Calibri" w:cs="Calibri"/>
                <w:color w:val="000000"/>
                <w:sz w:val="17"/>
                <w:szCs w:val="17"/>
              </w:rPr>
              <w:t>12.7%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0734EE" w14:textId="77777777" w:rsidR="00FA36BF" w:rsidRPr="00A34FA3" w:rsidRDefault="00000000" w:rsidP="00E41EF4">
            <w:pPr>
              <w:rPr>
                <w:rFonts w:ascii="Calibri" w:hAnsi="Calibri" w:cs="Calibri"/>
              </w:rPr>
            </w:pPr>
            <w:r w:rsidRPr="00A34FA3">
              <w:rPr>
                <w:rFonts w:ascii="Calibri" w:hAnsi="Calibri" w:cs="Calibri"/>
                <w:color w:val="000000"/>
                <w:sz w:val="17"/>
                <w:szCs w:val="17"/>
              </w:rPr>
              <w:t>12.84%</w:t>
            </w:r>
          </w:p>
        </w:tc>
      </w:tr>
      <w:tr w:rsidR="00FA36BF" w:rsidRPr="00A34FA3" w14:paraId="5EE34137"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0FF82"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Net Margin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6FB97" w14:textId="77777777" w:rsidR="00FA36BF" w:rsidRPr="00A34FA3" w:rsidRDefault="00000000" w:rsidP="00E41EF4">
            <w:pPr>
              <w:rPr>
                <w:rFonts w:ascii="Calibri" w:hAnsi="Calibri" w:cs="Calibri"/>
              </w:rPr>
            </w:pPr>
            <w:r w:rsidRPr="00A34FA3">
              <w:rPr>
                <w:rFonts w:ascii="Calibri" w:hAnsi="Calibri" w:cs="Calibri"/>
                <w:color w:val="000000"/>
                <w:sz w:val="17"/>
                <w:szCs w:val="17"/>
              </w:rPr>
              <w:t>2.61%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7E8FC4" w14:textId="77777777" w:rsidR="00FA36BF" w:rsidRPr="00A34FA3" w:rsidRDefault="00000000" w:rsidP="00E41EF4">
            <w:pPr>
              <w:rPr>
                <w:rFonts w:ascii="Calibri" w:hAnsi="Calibri" w:cs="Calibri"/>
              </w:rPr>
            </w:pPr>
            <w:r w:rsidRPr="00A34FA3">
              <w:rPr>
                <w:rFonts w:ascii="Calibri" w:hAnsi="Calibri" w:cs="Calibri"/>
                <w:color w:val="000000"/>
                <w:sz w:val="17"/>
                <w:szCs w:val="17"/>
              </w:rPr>
              <w:t>2.62%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5E5014" w14:textId="77777777" w:rsidR="00FA36BF" w:rsidRPr="00A34FA3" w:rsidRDefault="00000000" w:rsidP="00E41EF4">
            <w:pPr>
              <w:rPr>
                <w:rFonts w:ascii="Calibri" w:hAnsi="Calibri" w:cs="Calibri"/>
              </w:rPr>
            </w:pPr>
            <w:r w:rsidRPr="00A34FA3">
              <w:rPr>
                <w:rFonts w:ascii="Calibri" w:hAnsi="Calibri" w:cs="Calibri"/>
                <w:color w:val="000000"/>
                <w:sz w:val="17"/>
                <w:szCs w:val="17"/>
              </w:rPr>
              <w:t>2.60%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31577" w14:textId="77777777" w:rsidR="00FA36BF" w:rsidRPr="00A34FA3" w:rsidRDefault="00000000" w:rsidP="00E41EF4">
            <w:pPr>
              <w:rPr>
                <w:rFonts w:ascii="Calibri" w:hAnsi="Calibri" w:cs="Calibri"/>
              </w:rPr>
            </w:pPr>
            <w:r w:rsidRPr="00A34FA3">
              <w:rPr>
                <w:rFonts w:ascii="Calibri" w:hAnsi="Calibri" w:cs="Calibri"/>
                <w:color w:val="000000"/>
                <w:sz w:val="17"/>
                <w:szCs w:val="17"/>
              </w:rPr>
              <w:t>2.95%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CB35FF" w14:textId="77777777" w:rsidR="00FA36BF" w:rsidRPr="00A34FA3" w:rsidRDefault="00000000" w:rsidP="00E41EF4">
            <w:pPr>
              <w:rPr>
                <w:rFonts w:ascii="Calibri" w:hAnsi="Calibri" w:cs="Calibri"/>
              </w:rPr>
            </w:pPr>
            <w:r w:rsidRPr="00A34FA3">
              <w:rPr>
                <w:rFonts w:ascii="Calibri" w:hAnsi="Calibri" w:cs="Calibri"/>
                <w:color w:val="000000"/>
                <w:sz w:val="17"/>
                <w:szCs w:val="17"/>
              </w:rPr>
              <w:t>2.97%</w:t>
            </w:r>
          </w:p>
        </w:tc>
      </w:tr>
      <w:tr w:rsidR="00FA36BF" w:rsidRPr="00A34FA3" w14:paraId="6F70EE19"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49C30E"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ROIC</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CCD563" w14:textId="77777777" w:rsidR="00FA36BF" w:rsidRPr="00A34FA3" w:rsidRDefault="00000000" w:rsidP="00E41EF4">
            <w:pPr>
              <w:rPr>
                <w:rFonts w:ascii="Calibri" w:hAnsi="Calibri" w:cs="Calibri"/>
              </w:rPr>
            </w:pPr>
            <w:r w:rsidRPr="00A34FA3">
              <w:rPr>
                <w:rFonts w:ascii="Calibri" w:hAnsi="Calibri" w:cs="Calibri"/>
                <w:color w:val="000000"/>
                <w:sz w:val="17"/>
                <w:szCs w:val="17"/>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2326FB" w14:textId="77777777" w:rsidR="00FA36BF" w:rsidRPr="00A34FA3" w:rsidRDefault="00000000" w:rsidP="00E41EF4">
            <w:pPr>
              <w:rPr>
                <w:rFonts w:ascii="Calibri" w:hAnsi="Calibri" w:cs="Calibri"/>
              </w:rPr>
            </w:pPr>
            <w:r w:rsidRPr="00A34FA3">
              <w:rPr>
                <w:rFonts w:ascii="Calibri" w:hAnsi="Calibri" w:cs="Calibri"/>
                <w:color w:val="000000"/>
                <w:sz w:val="17"/>
                <w:szCs w:val="17"/>
              </w:rPr>
              <w:t>~30%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9B5A3A" w14:textId="77777777" w:rsidR="00FA36BF" w:rsidRPr="00A34FA3" w:rsidRDefault="00000000" w:rsidP="00E41EF4">
            <w:pPr>
              <w:rPr>
                <w:rFonts w:ascii="Calibri" w:hAnsi="Calibri" w:cs="Calibri"/>
              </w:rPr>
            </w:pPr>
            <w:r w:rsidRPr="00A34FA3">
              <w:rPr>
                <w:rFonts w:ascii="Calibri" w:hAnsi="Calibri" w:cs="Calibri"/>
                <w:color w:val="000000"/>
                <w:sz w:val="17"/>
                <w:szCs w:val="17"/>
              </w:rPr>
              <w:t>~33%</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E14441" w14:textId="77777777" w:rsidR="00FA36BF" w:rsidRPr="00A34FA3" w:rsidRDefault="00000000" w:rsidP="00E41EF4">
            <w:pPr>
              <w:rPr>
                <w:rFonts w:ascii="Calibri" w:hAnsi="Calibri" w:cs="Calibri"/>
              </w:rPr>
            </w:pPr>
            <w:r w:rsidRPr="00A34FA3">
              <w:rPr>
                <w:rFonts w:ascii="Calibri" w:hAnsi="Calibri" w:cs="Calibri"/>
                <w:color w:val="000000"/>
                <w:sz w:val="17"/>
                <w:szCs w:val="17"/>
              </w:rPr>
              <w:t>~36%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043BA4" w14:textId="77777777" w:rsidR="00FA36BF" w:rsidRPr="00A34FA3" w:rsidRDefault="00000000" w:rsidP="00E41EF4">
            <w:pPr>
              <w:rPr>
                <w:rFonts w:ascii="Calibri" w:hAnsi="Calibri" w:cs="Calibri"/>
              </w:rPr>
            </w:pPr>
            <w:r w:rsidRPr="00A34FA3">
              <w:rPr>
                <w:rFonts w:ascii="Calibri" w:hAnsi="Calibri" w:cs="Calibri"/>
                <w:color w:val="000000"/>
                <w:sz w:val="17"/>
                <w:szCs w:val="17"/>
              </w:rPr>
              <w:t>37.8%</w:t>
            </w:r>
          </w:p>
        </w:tc>
      </w:tr>
    </w:tbl>
    <w:p w14:paraId="5A6B2805" w14:textId="77777777" w:rsidR="00FA36BF" w:rsidRPr="00A34FA3" w:rsidRDefault="00FA36BF" w:rsidP="00E41EF4">
      <w:pPr>
        <w:spacing w:before="100"/>
        <w:rPr>
          <w:rFonts w:ascii="Calibri" w:hAnsi="Calibri" w:cs="Calibri"/>
        </w:rPr>
      </w:pPr>
    </w:p>
    <w:p w14:paraId="5BEB3A3B" w14:textId="77777777" w:rsidR="00FA36BF" w:rsidRPr="00A34FA3" w:rsidRDefault="00000000" w:rsidP="00E41EF4">
      <w:pPr>
        <w:pStyle w:val="Heading2"/>
        <w:rPr>
          <w:rFonts w:ascii="Calibri" w:hAnsi="Calibri" w:cs="Calibri"/>
        </w:rPr>
      </w:pPr>
      <w:r w:rsidRPr="00A34FA3">
        <w:rPr>
          <w:rFonts w:ascii="Calibri" w:hAnsi="Calibri" w:cs="Calibri"/>
        </w:rPr>
        <w:t>5.2 Key Observations</w:t>
      </w:r>
    </w:p>
    <w:p w14:paraId="6A25D148" w14:textId="7075CB2C"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Revenue CAGR (4-year): 6.6%</w:t>
      </w:r>
      <w:r w:rsidR="00030F39">
        <w:rPr>
          <w:rFonts w:ascii="Calibri" w:hAnsi="Calibri" w:cs="Calibri"/>
          <w:sz w:val="19"/>
          <w:szCs w:val="19"/>
        </w:rPr>
        <w:t xml:space="preserve">, </w:t>
      </w:r>
      <w:r w:rsidRPr="00A34FA3">
        <w:rPr>
          <w:rFonts w:ascii="Calibri" w:hAnsi="Calibri" w:cs="Calibri"/>
          <w:sz w:val="19"/>
          <w:szCs w:val="19"/>
        </w:rPr>
        <w:t>exceeds the 5% benchmark, supported by new warehouse openings, e-commerce growth, and the September 2024 membership fee increase.</w:t>
      </w:r>
    </w:p>
    <w:p w14:paraId="47DAADEB" w14:textId="1090F009"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Net Income CAGR (4-year): 11.5%</w:t>
      </w:r>
      <w:r w:rsidR="00030F39">
        <w:rPr>
          <w:rFonts w:ascii="Calibri" w:hAnsi="Calibri" w:cs="Calibri"/>
          <w:sz w:val="19"/>
          <w:szCs w:val="19"/>
        </w:rPr>
        <w:t xml:space="preserve">, </w:t>
      </w:r>
      <w:r w:rsidRPr="00A34FA3">
        <w:rPr>
          <w:rFonts w:ascii="Calibri" w:hAnsi="Calibri" w:cs="Calibri"/>
          <w:sz w:val="19"/>
          <w:szCs w:val="19"/>
        </w:rPr>
        <w:t>comfortably exceeds the 7% benchmark. Driven by SG&amp;A leverage, membership fee scaling, and Kirkland Signature margin accretion.</w:t>
      </w:r>
    </w:p>
    <w:p w14:paraId="2B4EE664"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FCF Quality: The 5-year average FCF/Net Income ratio of ~96% confirms low accrual content in earnings. FCF is real cash, not an accounting artefact. FY2022's dip to $3.50B was driven by elevated capex for new warehouses, not earnings deterioration.</w:t>
      </w:r>
    </w:p>
    <w:p w14:paraId="0CE951E3" w14:textId="18027D52"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Margins: Deliberately thin gross margins (12.84% in FY2025) are a competitive feature, not a weakness. The margin structure is intentional</w:t>
      </w:r>
      <w:r w:rsidR="00030F39">
        <w:rPr>
          <w:rFonts w:ascii="Calibri" w:hAnsi="Calibri" w:cs="Calibri"/>
          <w:sz w:val="19"/>
          <w:szCs w:val="19"/>
        </w:rPr>
        <w:t xml:space="preserve">, </w:t>
      </w:r>
      <w:r w:rsidRPr="00A34FA3">
        <w:rPr>
          <w:rFonts w:ascii="Calibri" w:hAnsi="Calibri" w:cs="Calibri"/>
          <w:sz w:val="19"/>
          <w:szCs w:val="19"/>
        </w:rPr>
        <w:t>lower merchandise margins drive member retention, and membership fees carry near-100% gross margin. All three margin lines expanded from FY2020 to FY2025.</w:t>
      </w:r>
    </w:p>
    <w:p w14:paraId="6DF736D9" w14:textId="63E6F004"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Balance Sheet: ROIC of 37.8%</w:t>
      </w:r>
      <w:r w:rsidR="00030F39">
        <w:rPr>
          <w:rFonts w:ascii="Calibri" w:hAnsi="Calibri" w:cs="Calibri"/>
          <w:sz w:val="19"/>
          <w:szCs w:val="19"/>
        </w:rPr>
        <w:t xml:space="preserve">, </w:t>
      </w:r>
      <w:r w:rsidRPr="00A34FA3">
        <w:rPr>
          <w:rFonts w:ascii="Calibri" w:hAnsi="Calibri" w:cs="Calibri"/>
          <w:sz w:val="19"/>
          <w:szCs w:val="19"/>
        </w:rPr>
        <w:t>materially above WACC (~9%)</w:t>
      </w:r>
      <w:r w:rsidR="00030F39">
        <w:rPr>
          <w:rFonts w:ascii="Calibri" w:hAnsi="Calibri" w:cs="Calibri"/>
          <w:sz w:val="19"/>
          <w:szCs w:val="19"/>
        </w:rPr>
        <w:t xml:space="preserve">, </w:t>
      </w:r>
      <w:r w:rsidRPr="00A34FA3">
        <w:rPr>
          <w:rFonts w:ascii="Calibri" w:hAnsi="Calibri" w:cs="Calibri"/>
          <w:sz w:val="19"/>
          <w:szCs w:val="19"/>
        </w:rPr>
        <w:t>confirms consistent, high-quality value creation. The balance sheet carries manageable leverage, operating cash flow of $14.76B (TTM, approximately 3× FY2020 levels), and a cash reserve of ~$17.38B.</w:t>
      </w:r>
    </w:p>
    <w:p w14:paraId="5BB2570A" w14:textId="6E0DC03A"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Capital Intensity: Capex is moderate (warehouses have long useful lives), and maintenance capital requirements are low relative to free cash flow generation. The business does not require heavy reinvestment to sustain competitive position</w:t>
      </w:r>
      <w:r w:rsidR="00030F39">
        <w:rPr>
          <w:rFonts w:ascii="Calibri" w:hAnsi="Calibri" w:cs="Calibri"/>
          <w:sz w:val="19"/>
          <w:szCs w:val="19"/>
        </w:rPr>
        <w:t xml:space="preserve">, </w:t>
      </w:r>
      <w:r w:rsidRPr="00A34FA3">
        <w:rPr>
          <w:rFonts w:ascii="Calibri" w:hAnsi="Calibri" w:cs="Calibri"/>
          <w:sz w:val="19"/>
          <w:szCs w:val="19"/>
        </w:rPr>
        <w:t>a hallmark of high-quality compounders.</w:t>
      </w:r>
    </w:p>
    <w:p w14:paraId="63C1FCA3"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t>6. Valuation &amp; Forward Guidance</w:t>
      </w:r>
    </w:p>
    <w:p w14:paraId="2405E989" w14:textId="77777777" w:rsidR="00FA36BF" w:rsidRPr="00A34FA3" w:rsidRDefault="00000000" w:rsidP="00E41EF4">
      <w:pPr>
        <w:pStyle w:val="Heading2"/>
        <w:rPr>
          <w:rFonts w:ascii="Calibri" w:hAnsi="Calibri" w:cs="Calibri"/>
        </w:rPr>
      </w:pPr>
      <w:r w:rsidRPr="00A34FA3">
        <w:rPr>
          <w:rFonts w:ascii="Calibri" w:hAnsi="Calibri" w:cs="Calibri"/>
        </w:rPr>
        <w:t>6.1 Multiples vs. Historical Averages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A36BF" w:rsidRPr="00A34FA3" w14:paraId="767732F2" w14:textId="77777777">
        <w:tc>
          <w:tcPr>
            <w:tcW w:w="234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11DCEAF7"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Metric</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632EB010"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Current</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112547B5"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5-Yr Avg</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5E3CA1D3"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10-Yr Avg</w:t>
            </w:r>
          </w:p>
        </w:tc>
        <w:tc>
          <w:tcPr>
            <w:tcW w:w="234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571908E6"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Signal</w:t>
            </w:r>
          </w:p>
        </w:tc>
      </w:tr>
      <w:tr w:rsidR="00FA36BF" w:rsidRPr="00A34FA3" w14:paraId="109A25D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EA747C"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Trailing P/E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839B94" w14:textId="77777777" w:rsidR="00FA36BF" w:rsidRPr="00A34FA3" w:rsidRDefault="00000000" w:rsidP="00E41EF4">
            <w:pPr>
              <w:rPr>
                <w:rFonts w:ascii="Calibri" w:hAnsi="Calibri" w:cs="Calibri"/>
              </w:rPr>
            </w:pPr>
            <w:r w:rsidRPr="00A34FA3">
              <w:rPr>
                <w:rFonts w:ascii="Calibri" w:hAnsi="Calibri" w:cs="Calibri"/>
                <w:color w:val="000000"/>
                <w:sz w:val="17"/>
                <w:szCs w:val="17"/>
              </w:rPr>
              <w:t>~51×</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F45123" w14:textId="77777777" w:rsidR="00FA36BF" w:rsidRPr="00A34FA3" w:rsidRDefault="00000000" w:rsidP="00E41EF4">
            <w:pPr>
              <w:rPr>
                <w:rFonts w:ascii="Calibri" w:hAnsi="Calibri" w:cs="Calibri"/>
              </w:rPr>
            </w:pPr>
            <w:r w:rsidRPr="00A34FA3">
              <w:rPr>
                <w:rFonts w:ascii="Calibri" w:hAnsi="Calibri" w:cs="Calibri"/>
                <w:color w:val="000000"/>
                <w:sz w:val="17"/>
                <w:szCs w:val="17"/>
              </w:rPr>
              <w:t>45×</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D9736B" w14:textId="77777777" w:rsidR="00FA36BF" w:rsidRPr="00A34FA3" w:rsidRDefault="00000000" w:rsidP="00E41EF4">
            <w:pPr>
              <w:rPr>
                <w:rFonts w:ascii="Calibri" w:hAnsi="Calibri" w:cs="Calibri"/>
              </w:rPr>
            </w:pPr>
            <w:r w:rsidRPr="00A34FA3">
              <w:rPr>
                <w:rFonts w:ascii="Calibri" w:hAnsi="Calibri" w:cs="Calibri"/>
                <w:color w:val="000000"/>
                <w:sz w:val="17"/>
                <w:szCs w:val="17"/>
              </w:rPr>
              <w:t>39×</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2DC98D" w14:textId="77777777" w:rsidR="00FA36BF" w:rsidRPr="00A34FA3" w:rsidRDefault="00000000" w:rsidP="00E41EF4">
            <w:pPr>
              <w:rPr>
                <w:rFonts w:ascii="Calibri" w:hAnsi="Calibri" w:cs="Calibri"/>
              </w:rPr>
            </w:pPr>
            <w:r w:rsidRPr="00A34FA3">
              <w:rPr>
                <w:rFonts w:ascii="Segoe UI Symbol" w:hAnsi="Segoe UI Symbol" w:cs="Segoe UI Symbol"/>
                <w:color w:val="C00000"/>
                <w:sz w:val="17"/>
                <w:szCs w:val="17"/>
              </w:rPr>
              <w:t>⚠</w:t>
            </w:r>
            <w:r w:rsidRPr="00A34FA3">
              <w:rPr>
                <w:rFonts w:ascii="Calibri" w:hAnsi="Calibri" w:cs="Calibri"/>
                <w:color w:val="C00000"/>
                <w:sz w:val="17"/>
                <w:szCs w:val="17"/>
              </w:rPr>
              <w:t xml:space="preserve"> Stretched +31%</w:t>
            </w:r>
          </w:p>
        </w:tc>
      </w:tr>
      <w:tr w:rsidR="00FA36BF" w:rsidRPr="00A34FA3" w14:paraId="4C7A9A8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9F662"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Forward P/E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5DC234" w14:textId="77777777" w:rsidR="00FA36BF" w:rsidRPr="00A34FA3" w:rsidRDefault="00000000" w:rsidP="00E41EF4">
            <w:pPr>
              <w:rPr>
                <w:rFonts w:ascii="Calibri" w:hAnsi="Calibri" w:cs="Calibri"/>
              </w:rPr>
            </w:pPr>
            <w:r w:rsidRPr="00A34FA3">
              <w:rPr>
                <w:rFonts w:ascii="Calibri" w:hAnsi="Calibri" w:cs="Calibri"/>
                <w:color w:val="000000"/>
                <w:sz w:val="17"/>
                <w:szCs w:val="17"/>
              </w:rPr>
              <w:t>~46×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F00C00" w14:textId="77777777" w:rsidR="00FA36BF" w:rsidRPr="00A34FA3" w:rsidRDefault="00000000" w:rsidP="00E41EF4">
            <w:pPr>
              <w:rPr>
                <w:rFonts w:ascii="Calibri" w:hAnsi="Calibri" w:cs="Calibri"/>
              </w:rPr>
            </w:pPr>
            <w:r w:rsidRPr="00A34FA3">
              <w:rPr>
                <w:rFonts w:ascii="Calibri" w:hAnsi="Calibri" w:cs="Calibri"/>
                <w:color w:val="000000"/>
                <w:sz w:val="17"/>
                <w:szCs w:val="17"/>
              </w:rPr>
              <w:t>41×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091DF0" w14:textId="77777777" w:rsidR="00FA36BF" w:rsidRPr="00A34FA3" w:rsidRDefault="00000000" w:rsidP="00E41EF4">
            <w:pPr>
              <w:rPr>
                <w:rFonts w:ascii="Calibri" w:hAnsi="Calibri" w:cs="Calibri"/>
              </w:rPr>
            </w:pPr>
            <w:r w:rsidRPr="00A34FA3">
              <w:rPr>
                <w:rFonts w:ascii="Calibri" w:hAnsi="Calibri" w:cs="Calibri"/>
                <w:color w:val="000000"/>
                <w:sz w:val="17"/>
                <w:szCs w:val="17"/>
              </w:rPr>
              <w:t>35×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E5407" w14:textId="77777777" w:rsidR="00FA36BF" w:rsidRPr="00A34FA3" w:rsidRDefault="00000000" w:rsidP="00E41EF4">
            <w:pPr>
              <w:rPr>
                <w:rFonts w:ascii="Calibri" w:hAnsi="Calibri" w:cs="Calibri"/>
              </w:rPr>
            </w:pPr>
            <w:r w:rsidRPr="00A34FA3">
              <w:rPr>
                <w:rFonts w:ascii="Segoe UI Symbol" w:hAnsi="Segoe UI Symbol" w:cs="Segoe UI Symbol"/>
                <w:color w:val="C00000"/>
                <w:sz w:val="17"/>
                <w:szCs w:val="17"/>
              </w:rPr>
              <w:t>⚠</w:t>
            </w:r>
            <w:r w:rsidRPr="00A34FA3">
              <w:rPr>
                <w:rFonts w:ascii="Calibri" w:hAnsi="Calibri" w:cs="Calibri"/>
                <w:color w:val="C00000"/>
                <w:sz w:val="17"/>
                <w:szCs w:val="17"/>
              </w:rPr>
              <w:t xml:space="preserve"> Stretched +31%</w:t>
            </w:r>
          </w:p>
        </w:tc>
      </w:tr>
      <w:tr w:rsidR="00FA36BF" w:rsidRPr="00A34FA3" w14:paraId="2D0C34F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885045"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EV/EBITDA</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7C2543" w14:textId="77777777" w:rsidR="00FA36BF" w:rsidRPr="00A34FA3" w:rsidRDefault="00000000" w:rsidP="00E41EF4">
            <w:pPr>
              <w:rPr>
                <w:rFonts w:ascii="Calibri" w:hAnsi="Calibri" w:cs="Calibri"/>
              </w:rPr>
            </w:pPr>
            <w:r w:rsidRPr="00A34FA3">
              <w:rPr>
                <w:rFonts w:ascii="Calibri" w:hAnsi="Calibri" w:cs="Calibri"/>
                <w:color w:val="000000"/>
                <w:sz w:val="17"/>
                <w:szCs w:val="17"/>
              </w:rPr>
              <w:t>31.4×</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AE25AC" w14:textId="77777777" w:rsidR="00FA36BF" w:rsidRPr="00A34FA3" w:rsidRDefault="00000000" w:rsidP="00E41EF4">
            <w:pPr>
              <w:rPr>
                <w:rFonts w:ascii="Calibri" w:hAnsi="Calibri" w:cs="Calibri"/>
              </w:rPr>
            </w:pPr>
            <w:r w:rsidRPr="00A34FA3">
              <w:rPr>
                <w:rFonts w:ascii="Calibri" w:hAnsi="Calibri" w:cs="Calibri"/>
                <w:color w:val="000000"/>
                <w:sz w:val="17"/>
                <w:szCs w:val="17"/>
              </w:rPr>
              <w:t>~27×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E82961" w14:textId="77777777" w:rsidR="00FA36BF" w:rsidRPr="00A34FA3" w:rsidRDefault="00000000" w:rsidP="00E41EF4">
            <w:pPr>
              <w:rPr>
                <w:rFonts w:ascii="Calibri" w:hAnsi="Calibri" w:cs="Calibri"/>
              </w:rPr>
            </w:pPr>
            <w:r w:rsidRPr="00A34FA3">
              <w:rPr>
                <w:rFonts w:ascii="Calibri" w:hAnsi="Calibri" w:cs="Calibri"/>
                <w:color w:val="000000"/>
                <w:sz w:val="17"/>
                <w:szCs w:val="17"/>
              </w:rPr>
              <w:t>~23×</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882550" w14:textId="77777777" w:rsidR="00FA36BF" w:rsidRPr="00A34FA3" w:rsidRDefault="00000000" w:rsidP="00E41EF4">
            <w:pPr>
              <w:rPr>
                <w:rFonts w:ascii="Calibri" w:hAnsi="Calibri" w:cs="Calibri"/>
              </w:rPr>
            </w:pPr>
            <w:r w:rsidRPr="00A34FA3">
              <w:rPr>
                <w:rFonts w:ascii="Segoe UI Symbol" w:hAnsi="Segoe UI Symbol" w:cs="Segoe UI Symbol"/>
                <w:color w:val="C00000"/>
                <w:sz w:val="17"/>
                <w:szCs w:val="17"/>
              </w:rPr>
              <w:t>⚠</w:t>
            </w:r>
            <w:r w:rsidRPr="00A34FA3">
              <w:rPr>
                <w:rFonts w:ascii="Calibri" w:hAnsi="Calibri" w:cs="Calibri"/>
                <w:color w:val="C00000"/>
                <w:sz w:val="17"/>
                <w:szCs w:val="17"/>
              </w:rPr>
              <w:t xml:space="preserve"> Elevated +37%</w:t>
            </w:r>
          </w:p>
        </w:tc>
      </w:tr>
      <w:tr w:rsidR="00FA36BF" w:rsidRPr="00A34FA3" w14:paraId="4639409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57FB4F"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P/FCF</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0E5E8" w14:textId="77777777" w:rsidR="00FA36BF" w:rsidRPr="00A34FA3" w:rsidRDefault="00000000" w:rsidP="00E41EF4">
            <w:pPr>
              <w:rPr>
                <w:rFonts w:ascii="Calibri" w:hAnsi="Calibri" w:cs="Calibri"/>
              </w:rPr>
            </w:pPr>
            <w:r w:rsidRPr="00A34FA3">
              <w:rPr>
                <w:rFonts w:ascii="Calibri" w:hAnsi="Calibri" w:cs="Calibri"/>
                <w:color w:val="000000"/>
                <w:sz w:val="17"/>
                <w:szCs w:val="17"/>
              </w:rPr>
              <w:t>~50×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90D7D0" w14:textId="77777777" w:rsidR="00FA36BF" w:rsidRPr="00A34FA3" w:rsidRDefault="00000000" w:rsidP="00E41EF4">
            <w:pPr>
              <w:rPr>
                <w:rFonts w:ascii="Calibri" w:hAnsi="Calibri" w:cs="Calibri"/>
              </w:rPr>
            </w:pPr>
            <w:r w:rsidRPr="00A34FA3">
              <w:rPr>
                <w:rFonts w:ascii="Calibri" w:hAnsi="Calibri" w:cs="Calibri"/>
                <w:color w:val="000000"/>
                <w:sz w:val="17"/>
                <w:szCs w:val="17"/>
              </w:rPr>
              <w:t>~48×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41B01" w14:textId="77777777" w:rsidR="00FA36BF" w:rsidRPr="00A34FA3" w:rsidRDefault="00000000" w:rsidP="00E41EF4">
            <w:pPr>
              <w:rPr>
                <w:rFonts w:ascii="Calibri" w:hAnsi="Calibri" w:cs="Calibri"/>
              </w:rPr>
            </w:pPr>
            <w:r w:rsidRPr="00A34FA3">
              <w:rPr>
                <w:rFonts w:ascii="Calibri" w:hAnsi="Calibri" w:cs="Calibri"/>
                <w:color w:val="000000"/>
                <w:sz w:val="17"/>
                <w:szCs w:val="17"/>
              </w:rPr>
              <w:t>~38×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7CEA68" w14:textId="77777777" w:rsidR="00FA36BF" w:rsidRPr="00A34FA3" w:rsidRDefault="00000000" w:rsidP="00E41EF4">
            <w:pPr>
              <w:rPr>
                <w:rFonts w:ascii="Calibri" w:hAnsi="Calibri" w:cs="Calibri"/>
              </w:rPr>
            </w:pPr>
            <w:r w:rsidRPr="00A34FA3">
              <w:rPr>
                <w:rFonts w:ascii="Segoe UI Symbol" w:hAnsi="Segoe UI Symbol" w:cs="Segoe UI Symbol"/>
                <w:color w:val="C00000"/>
                <w:sz w:val="17"/>
                <w:szCs w:val="17"/>
              </w:rPr>
              <w:t>⚠</w:t>
            </w:r>
            <w:r w:rsidRPr="00A34FA3">
              <w:rPr>
                <w:rFonts w:ascii="Calibri" w:hAnsi="Calibri" w:cs="Calibri"/>
                <w:color w:val="C00000"/>
                <w:sz w:val="17"/>
                <w:szCs w:val="17"/>
              </w:rPr>
              <w:t xml:space="preserve"> Elevated +32%</w:t>
            </w:r>
          </w:p>
        </w:tc>
      </w:tr>
      <w:tr w:rsidR="00FA36BF" w:rsidRPr="00A34FA3" w14:paraId="00586BC3"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70C704"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Dividend Yield</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8FA139" w14:textId="77777777" w:rsidR="00FA36BF" w:rsidRPr="00A34FA3" w:rsidRDefault="00000000" w:rsidP="00E41EF4">
            <w:pPr>
              <w:rPr>
                <w:rFonts w:ascii="Calibri" w:hAnsi="Calibri" w:cs="Calibri"/>
              </w:rPr>
            </w:pPr>
            <w:r w:rsidRPr="00A34FA3">
              <w:rPr>
                <w:rFonts w:ascii="Calibri" w:hAnsi="Calibri" w:cs="Calibri"/>
                <w:color w:val="000000"/>
                <w:sz w:val="17"/>
                <w:szCs w:val="17"/>
              </w:rPr>
              <w:t>~0.5%</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28C719" w14:textId="77777777" w:rsidR="00FA36BF" w:rsidRPr="00A34FA3" w:rsidRDefault="00000000" w:rsidP="00E41EF4">
            <w:pPr>
              <w:rPr>
                <w:rFonts w:ascii="Calibri" w:hAnsi="Calibri" w:cs="Calibri"/>
              </w:rPr>
            </w:pPr>
            <w:r w:rsidRPr="00A34FA3">
              <w:rPr>
                <w:rFonts w:ascii="Calibri" w:hAnsi="Calibri" w:cs="Calibri"/>
                <w:color w:val="000000"/>
                <w:sz w:val="17"/>
                <w:szCs w:val="17"/>
              </w:rPr>
              <w:t>~0.8%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6AD730" w14:textId="77777777" w:rsidR="00FA36BF" w:rsidRPr="00A34FA3" w:rsidRDefault="00000000" w:rsidP="00E41EF4">
            <w:pPr>
              <w:rPr>
                <w:rFonts w:ascii="Calibri" w:hAnsi="Calibri" w:cs="Calibri"/>
              </w:rPr>
            </w:pPr>
            <w:r w:rsidRPr="00A34FA3">
              <w:rPr>
                <w:rFonts w:ascii="Calibri" w:hAnsi="Calibri" w:cs="Calibri"/>
                <w:color w:val="000000"/>
                <w:sz w:val="17"/>
                <w:szCs w:val="17"/>
              </w:rPr>
              <w:t>~1.1%</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CDFC65" w14:textId="77777777" w:rsidR="00FA36BF" w:rsidRPr="00A34FA3" w:rsidRDefault="00000000" w:rsidP="00E41EF4">
            <w:pPr>
              <w:rPr>
                <w:rFonts w:ascii="Calibri" w:hAnsi="Calibri" w:cs="Calibri"/>
              </w:rPr>
            </w:pPr>
            <w:r w:rsidRPr="00A34FA3">
              <w:rPr>
                <w:rFonts w:ascii="Calibri" w:hAnsi="Calibri" w:cs="Calibri"/>
                <w:color w:val="000000"/>
                <w:sz w:val="17"/>
                <w:szCs w:val="17"/>
              </w:rPr>
              <w:t>Below historical avg</w:t>
            </w:r>
          </w:p>
        </w:tc>
      </w:tr>
    </w:tbl>
    <w:p w14:paraId="5B2ACCBD" w14:textId="77777777" w:rsidR="00FA36BF" w:rsidRPr="00A34FA3" w:rsidRDefault="00FA36BF" w:rsidP="00E41EF4">
      <w:pPr>
        <w:spacing w:before="100"/>
        <w:rPr>
          <w:rFonts w:ascii="Calibri" w:hAnsi="Calibri" w:cs="Calibri"/>
        </w:rPr>
      </w:pPr>
    </w:p>
    <w:p w14:paraId="13FD51A5" w14:textId="77777777" w:rsidR="00FA36BF" w:rsidRPr="00A34FA3" w:rsidRDefault="00000000" w:rsidP="00E41EF4">
      <w:pPr>
        <w:pStyle w:val="Heading2"/>
        <w:rPr>
          <w:rFonts w:ascii="Calibri" w:hAnsi="Calibri" w:cs="Calibri"/>
        </w:rPr>
      </w:pPr>
      <w:r w:rsidRPr="00A34FA3">
        <w:rPr>
          <w:rFonts w:ascii="Calibri" w:hAnsi="Calibri" w:cs="Calibri"/>
        </w:rPr>
        <w:t>6.2 DCF Scenario Analysis</w:t>
      </w:r>
    </w:p>
    <w:p w14:paraId="7831E6C7" w14:textId="77777777" w:rsidR="00FA36BF" w:rsidRPr="00A34FA3" w:rsidRDefault="00000000" w:rsidP="00E41EF4">
      <w:pPr>
        <w:spacing w:before="40" w:after="60"/>
        <w:rPr>
          <w:rFonts w:ascii="Calibri" w:hAnsi="Calibri" w:cs="Calibri"/>
        </w:rPr>
      </w:pPr>
      <w:r w:rsidRPr="00A34FA3">
        <w:rPr>
          <w:rFonts w:ascii="Calibri" w:hAnsi="Calibri" w:cs="Calibri"/>
          <w:sz w:val="19"/>
          <w:szCs w:val="19"/>
        </w:rPr>
        <w:t>Our DCF model applies a 5-year explicit FCF projection period followed by a Gordon Growth terminal value. Base FCF of $7.84B (FY2025). Shares outstanding: ~444M. A 10% margin of safety is applied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FA36BF" w:rsidRPr="00A34FA3" w14:paraId="4C2DA904" w14:textId="77777777">
        <w:tc>
          <w:tcPr>
            <w:tcW w:w="450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2D6F5735"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lastRenderedPageBreak/>
              <w:t>Scenario</w:t>
            </w:r>
          </w:p>
        </w:tc>
        <w:tc>
          <w:tcPr>
            <w:tcW w:w="48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237149EC"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Intrinsic Value Range</w:t>
            </w:r>
          </w:p>
        </w:tc>
      </w:tr>
      <w:tr w:rsidR="00FA36BF" w:rsidRPr="00A34FA3" w14:paraId="02BFFD8E"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B9E6D5"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Bear Case (6% FCF growth, WACC 10.5%)</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D92DD5" w14:textId="77777777" w:rsidR="00FA36BF" w:rsidRPr="00A34FA3" w:rsidRDefault="00000000" w:rsidP="00E41EF4">
            <w:pPr>
              <w:rPr>
                <w:rFonts w:ascii="Calibri" w:hAnsi="Calibri" w:cs="Calibri"/>
              </w:rPr>
            </w:pPr>
            <w:r w:rsidRPr="00A34FA3">
              <w:rPr>
                <w:rFonts w:ascii="Calibri" w:hAnsi="Calibri" w:cs="Calibri"/>
                <w:color w:val="000000"/>
                <w:sz w:val="18"/>
                <w:szCs w:val="18"/>
              </w:rPr>
              <w:t>$650–$750</w:t>
            </w:r>
          </w:p>
        </w:tc>
      </w:tr>
      <w:tr w:rsidR="00FA36BF" w:rsidRPr="00A34FA3" w14:paraId="65B9114A"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6ED467"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Base Case (10% FCF growth, WACC 9.0%)</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D74684" w14:textId="77777777" w:rsidR="00FA36BF" w:rsidRPr="00A34FA3" w:rsidRDefault="00000000" w:rsidP="00E41EF4">
            <w:pPr>
              <w:rPr>
                <w:rFonts w:ascii="Calibri" w:hAnsi="Calibri" w:cs="Calibri"/>
              </w:rPr>
            </w:pPr>
            <w:r w:rsidRPr="00A34FA3">
              <w:rPr>
                <w:rFonts w:ascii="Calibri" w:hAnsi="Calibri" w:cs="Calibri"/>
                <w:color w:val="000000"/>
                <w:sz w:val="18"/>
                <w:szCs w:val="18"/>
              </w:rPr>
              <w:t>$850–$950</w:t>
            </w:r>
          </w:p>
        </w:tc>
      </w:tr>
      <w:tr w:rsidR="00FA36BF" w:rsidRPr="00A34FA3" w14:paraId="3168669F"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92DD6"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Bull Case (15% FCF growth, WACC 8.5%)</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C01813" w14:textId="77777777" w:rsidR="00FA36BF" w:rsidRPr="00A34FA3" w:rsidRDefault="00000000" w:rsidP="00E41EF4">
            <w:pPr>
              <w:rPr>
                <w:rFonts w:ascii="Calibri" w:hAnsi="Calibri" w:cs="Calibri"/>
              </w:rPr>
            </w:pPr>
            <w:r w:rsidRPr="00A34FA3">
              <w:rPr>
                <w:rFonts w:ascii="Calibri" w:hAnsi="Calibri" w:cs="Calibri"/>
                <w:color w:val="000000"/>
                <w:sz w:val="18"/>
                <w:szCs w:val="18"/>
              </w:rPr>
              <w:t>$1,100–$1,200</w:t>
            </w:r>
          </w:p>
        </w:tc>
      </w:tr>
      <w:tr w:rsidR="00FA36BF" w:rsidRPr="00A34FA3" w14:paraId="0DD0862A"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35B3D0"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Analyst Consensus Target (40+ analysts)</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3FE211" w14:textId="77777777" w:rsidR="00FA36BF" w:rsidRPr="00A34FA3" w:rsidRDefault="00000000" w:rsidP="00E41EF4">
            <w:pPr>
              <w:rPr>
                <w:rFonts w:ascii="Calibri" w:hAnsi="Calibri" w:cs="Calibri"/>
              </w:rPr>
            </w:pPr>
            <w:r w:rsidRPr="00A34FA3">
              <w:rPr>
                <w:rFonts w:ascii="Calibri" w:hAnsi="Calibri" w:cs="Calibri"/>
                <w:color w:val="000000"/>
                <w:sz w:val="18"/>
                <w:szCs w:val="18"/>
              </w:rPr>
              <w:t>~$1,088 (implied +10.7% upside)</w:t>
            </w:r>
          </w:p>
        </w:tc>
      </w:tr>
      <w:tr w:rsidR="00FA36BF" w:rsidRPr="00A34FA3" w14:paraId="41008C4E"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B7A086"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Current Market Price (April 2026)</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95EF0D" w14:textId="758BCD0F" w:rsidR="00FA36BF" w:rsidRPr="00A34FA3" w:rsidRDefault="00000000" w:rsidP="00E41EF4">
            <w:pPr>
              <w:rPr>
                <w:rFonts w:ascii="Calibri" w:hAnsi="Calibri" w:cs="Calibri"/>
              </w:rPr>
            </w:pPr>
            <w:r w:rsidRPr="00A34FA3">
              <w:rPr>
                <w:rFonts w:ascii="Calibri" w:hAnsi="Calibri" w:cs="Calibri"/>
                <w:color w:val="000000"/>
                <w:sz w:val="18"/>
                <w:szCs w:val="18"/>
              </w:rPr>
              <w:t>~$983</w:t>
            </w:r>
            <w:r w:rsidR="00030F39">
              <w:rPr>
                <w:rFonts w:ascii="Calibri" w:hAnsi="Calibri" w:cs="Calibri"/>
                <w:color w:val="000000"/>
                <w:sz w:val="18"/>
                <w:szCs w:val="18"/>
              </w:rPr>
              <w:t xml:space="preserve">, </w:t>
            </w:r>
            <w:r w:rsidRPr="00A34FA3">
              <w:rPr>
                <w:rFonts w:ascii="Calibri" w:hAnsi="Calibri" w:cs="Calibri"/>
                <w:color w:val="000000"/>
                <w:sz w:val="18"/>
                <w:szCs w:val="18"/>
              </w:rPr>
              <w:t>requires bull-case assumptions</w:t>
            </w:r>
          </w:p>
        </w:tc>
      </w:tr>
    </w:tbl>
    <w:p w14:paraId="4D136A38" w14:textId="77777777" w:rsidR="00FA36BF" w:rsidRPr="00A34FA3" w:rsidRDefault="00FA36BF" w:rsidP="00E41EF4">
      <w:pPr>
        <w:spacing w:before="80"/>
        <w:rPr>
          <w:rFonts w:ascii="Calibri" w:hAnsi="Calibri" w:cs="Calibri"/>
        </w:rPr>
      </w:pPr>
    </w:p>
    <w:p w14:paraId="7CDED708" w14:textId="25DC1F37" w:rsidR="00FA36BF" w:rsidRPr="00A34FA3" w:rsidRDefault="00000000" w:rsidP="00E41EF4">
      <w:pPr>
        <w:spacing w:before="40" w:after="60"/>
        <w:rPr>
          <w:rFonts w:ascii="Calibri" w:hAnsi="Calibri" w:cs="Calibri"/>
        </w:rPr>
      </w:pPr>
      <w:r w:rsidRPr="00A34FA3">
        <w:rPr>
          <w:rFonts w:ascii="Calibri" w:hAnsi="Calibri" w:cs="Calibri"/>
          <w:sz w:val="19"/>
          <w:szCs w:val="19"/>
        </w:rPr>
        <w:t>Only at FCF growth ≥12% with WACC ≤9%, or FCF ≥15% with WACC ≤10%, does the DCF model justify today's market price. The gap between our base-case intrinsic value ($850–$950) and the analyst consensus target ($1,088) is best explained by the persistent quality premium the market assigns to Costco's membership moat and earnings predictability</w:t>
      </w:r>
      <w:r w:rsidR="00030F39">
        <w:rPr>
          <w:rFonts w:ascii="Calibri" w:hAnsi="Calibri" w:cs="Calibri"/>
          <w:sz w:val="19"/>
          <w:szCs w:val="19"/>
        </w:rPr>
        <w:t xml:space="preserve">, </w:t>
      </w:r>
      <w:r w:rsidRPr="00A34FA3">
        <w:rPr>
          <w:rFonts w:ascii="Calibri" w:hAnsi="Calibri" w:cs="Calibri"/>
          <w:sz w:val="19"/>
          <w:szCs w:val="19"/>
        </w:rPr>
        <w:t>a premium that is historically justified but which limits near-term upside from current levels.</w:t>
      </w:r>
    </w:p>
    <w:p w14:paraId="0BEC554E" w14:textId="77777777" w:rsidR="00FA36BF" w:rsidRPr="00A34FA3" w:rsidRDefault="00000000" w:rsidP="00E41EF4">
      <w:pPr>
        <w:pStyle w:val="Heading2"/>
        <w:rPr>
          <w:rFonts w:ascii="Calibri" w:hAnsi="Calibri" w:cs="Calibri"/>
        </w:rPr>
      </w:pPr>
      <w:r w:rsidRPr="00A34FA3">
        <w:rPr>
          <w:rFonts w:ascii="Calibri" w:hAnsi="Calibri" w:cs="Calibri"/>
        </w:rPr>
        <w:t>6.3 Peer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A36BF" w:rsidRPr="00A34FA3" w14:paraId="2A17BAB7" w14:textId="77777777">
        <w:tc>
          <w:tcPr>
            <w:tcW w:w="234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04914D82"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Company</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5557223B" w14:textId="77777777" w:rsidR="00FA36BF" w:rsidRPr="00A34FA3" w:rsidRDefault="00000000" w:rsidP="00E41EF4">
            <w:pPr>
              <w:rPr>
                <w:rFonts w:ascii="Calibri" w:hAnsi="Calibri" w:cs="Calibri"/>
              </w:rPr>
            </w:pPr>
            <w:proofErr w:type="spellStart"/>
            <w:r w:rsidRPr="00A34FA3">
              <w:rPr>
                <w:rFonts w:ascii="Calibri" w:hAnsi="Calibri" w:cs="Calibri"/>
                <w:b/>
                <w:bCs/>
                <w:color w:val="FFFFFF"/>
                <w:sz w:val="18"/>
                <w:szCs w:val="18"/>
              </w:rPr>
              <w:t>Fwd</w:t>
            </w:r>
            <w:proofErr w:type="spellEnd"/>
            <w:r w:rsidRPr="00A34FA3">
              <w:rPr>
                <w:rFonts w:ascii="Calibri" w:hAnsi="Calibri" w:cs="Calibri"/>
                <w:b/>
                <w:bCs/>
                <w:color w:val="FFFFFF"/>
                <w:sz w:val="18"/>
                <w:szCs w:val="18"/>
              </w:rPr>
              <w:t xml:space="preserve"> P/E</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0AC91F82"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EV/EBITDA</w:t>
            </w:r>
          </w:p>
        </w:tc>
        <w:tc>
          <w:tcPr>
            <w:tcW w:w="1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60CA6B2F"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Rev Growth</w:t>
            </w:r>
          </w:p>
        </w:tc>
        <w:tc>
          <w:tcPr>
            <w:tcW w:w="234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507EC350"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Moat</w:t>
            </w:r>
          </w:p>
        </w:tc>
      </w:tr>
      <w:tr w:rsidR="00FA36BF" w:rsidRPr="00A34FA3" w14:paraId="294E0E38"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B62D279"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COST (Costco)</w:t>
            </w:r>
          </w:p>
        </w:tc>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9315D8C"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~46×</w:t>
            </w:r>
          </w:p>
        </w:tc>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5DEABCA"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31.4×</w:t>
            </w:r>
          </w:p>
        </w:tc>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A711563"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F4E48DC"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Membership + scale</w:t>
            </w:r>
          </w:p>
        </w:tc>
      </w:tr>
      <w:tr w:rsidR="00FA36BF" w:rsidRPr="00A34FA3" w14:paraId="76CEC67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43C35"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WMT (Walmart)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068A22" w14:textId="77777777" w:rsidR="00FA36BF" w:rsidRPr="00A34FA3" w:rsidRDefault="00000000" w:rsidP="00E41EF4">
            <w:pPr>
              <w:rPr>
                <w:rFonts w:ascii="Calibri" w:hAnsi="Calibri" w:cs="Calibri"/>
              </w:rPr>
            </w:pPr>
            <w:r w:rsidRPr="00A34FA3">
              <w:rPr>
                <w:rFonts w:ascii="Calibri" w:hAnsi="Calibri" w:cs="Calibri"/>
                <w:color w:val="000000"/>
                <w:sz w:val="17"/>
                <w:szCs w:val="17"/>
              </w:rPr>
              <w:t>~38×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EDFBC4" w14:textId="77777777" w:rsidR="00FA36BF" w:rsidRPr="00A34FA3" w:rsidRDefault="00000000" w:rsidP="00E41EF4">
            <w:pPr>
              <w:rPr>
                <w:rFonts w:ascii="Calibri" w:hAnsi="Calibri" w:cs="Calibri"/>
              </w:rPr>
            </w:pPr>
            <w:r w:rsidRPr="00A34FA3">
              <w:rPr>
                <w:rFonts w:ascii="Calibri" w:hAnsi="Calibri" w:cs="Calibri"/>
                <w:color w:val="000000"/>
                <w:sz w:val="17"/>
                <w:szCs w:val="17"/>
              </w:rPr>
              <w:t>~22×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E057A2" w14:textId="77777777" w:rsidR="00FA36BF" w:rsidRPr="00A34FA3" w:rsidRDefault="00000000" w:rsidP="00E41EF4">
            <w:pPr>
              <w:rPr>
                <w:rFonts w:ascii="Calibri" w:hAnsi="Calibri" w:cs="Calibri"/>
              </w:rPr>
            </w:pPr>
            <w:r w:rsidRPr="00A34FA3">
              <w:rPr>
                <w:rFonts w:ascii="Calibri" w:hAnsi="Calibri" w:cs="Calibri"/>
                <w:color w:val="000000"/>
                <w:sz w:val="17"/>
                <w:szCs w:val="17"/>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8EBBFD" w14:textId="77777777" w:rsidR="00FA36BF" w:rsidRPr="00A34FA3" w:rsidRDefault="00000000" w:rsidP="00E41EF4">
            <w:pPr>
              <w:rPr>
                <w:rFonts w:ascii="Calibri" w:hAnsi="Calibri" w:cs="Calibri"/>
              </w:rPr>
            </w:pPr>
            <w:r w:rsidRPr="00A34FA3">
              <w:rPr>
                <w:rFonts w:ascii="Calibri" w:hAnsi="Calibri" w:cs="Calibri"/>
                <w:color w:val="000000"/>
                <w:sz w:val="17"/>
                <w:szCs w:val="17"/>
              </w:rPr>
              <w:t>Scale + omnichannel</w:t>
            </w:r>
          </w:p>
        </w:tc>
      </w:tr>
      <w:tr w:rsidR="00FA36BF" w:rsidRPr="00A34FA3" w14:paraId="113D0D3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A03F68"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BJ's Wholesale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AD6EF2" w14:textId="77777777" w:rsidR="00FA36BF" w:rsidRPr="00A34FA3" w:rsidRDefault="00000000" w:rsidP="00E41EF4">
            <w:pPr>
              <w:rPr>
                <w:rFonts w:ascii="Calibri" w:hAnsi="Calibri" w:cs="Calibri"/>
              </w:rPr>
            </w:pPr>
            <w:r w:rsidRPr="00A34FA3">
              <w:rPr>
                <w:rFonts w:ascii="Calibri" w:hAnsi="Calibri" w:cs="Calibri"/>
                <w:color w:val="000000"/>
                <w:sz w:val="17"/>
                <w:szCs w:val="17"/>
              </w:rPr>
              <w:t>~19×</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85FE9F" w14:textId="77777777" w:rsidR="00FA36BF" w:rsidRPr="00A34FA3" w:rsidRDefault="00000000" w:rsidP="00E41EF4">
            <w:pPr>
              <w:rPr>
                <w:rFonts w:ascii="Calibri" w:hAnsi="Calibri" w:cs="Calibri"/>
              </w:rPr>
            </w:pPr>
            <w:r w:rsidRPr="00A34FA3">
              <w:rPr>
                <w:rFonts w:ascii="Calibri" w:hAnsi="Calibri" w:cs="Calibri"/>
                <w:color w:val="000000"/>
                <w:sz w:val="17"/>
                <w:szCs w:val="17"/>
              </w:rPr>
              <w:t>~12×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860941" w14:textId="77777777" w:rsidR="00FA36BF" w:rsidRPr="00A34FA3" w:rsidRDefault="00000000" w:rsidP="00E41EF4">
            <w:pPr>
              <w:rPr>
                <w:rFonts w:ascii="Calibri" w:hAnsi="Calibri" w:cs="Calibri"/>
              </w:rPr>
            </w:pPr>
            <w:r w:rsidRPr="00A34FA3">
              <w:rPr>
                <w:rFonts w:ascii="Calibri" w:hAnsi="Calibri" w:cs="Calibri"/>
                <w:color w:val="000000"/>
                <w:sz w:val="17"/>
                <w:szCs w:val="17"/>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1DE73E" w14:textId="77777777" w:rsidR="00FA36BF" w:rsidRPr="00A34FA3" w:rsidRDefault="00000000" w:rsidP="00E41EF4">
            <w:pPr>
              <w:rPr>
                <w:rFonts w:ascii="Calibri" w:hAnsi="Calibri" w:cs="Calibri"/>
              </w:rPr>
            </w:pPr>
            <w:r w:rsidRPr="00A34FA3">
              <w:rPr>
                <w:rFonts w:ascii="Calibri" w:hAnsi="Calibri" w:cs="Calibri"/>
                <w:color w:val="000000"/>
                <w:sz w:val="17"/>
                <w:szCs w:val="17"/>
              </w:rPr>
              <w:t>Regional membership</w:t>
            </w:r>
          </w:p>
        </w:tc>
      </w:tr>
      <w:tr w:rsidR="00FA36BF" w:rsidRPr="00A34FA3" w14:paraId="1D3C53D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2FD834"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TGT (Target)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64711" w14:textId="77777777" w:rsidR="00FA36BF" w:rsidRPr="00A34FA3" w:rsidRDefault="00000000" w:rsidP="00E41EF4">
            <w:pPr>
              <w:rPr>
                <w:rFonts w:ascii="Calibri" w:hAnsi="Calibri" w:cs="Calibri"/>
              </w:rPr>
            </w:pPr>
            <w:r w:rsidRPr="00A34FA3">
              <w:rPr>
                <w:rFonts w:ascii="Calibri" w:hAnsi="Calibri" w:cs="Calibri"/>
                <w:color w:val="000000"/>
                <w:sz w:val="17"/>
                <w:szCs w:val="17"/>
              </w:rPr>
              <w:t>~12×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611A8A" w14:textId="77777777" w:rsidR="00FA36BF" w:rsidRPr="00A34FA3" w:rsidRDefault="00000000" w:rsidP="00E41EF4">
            <w:pPr>
              <w:rPr>
                <w:rFonts w:ascii="Calibri" w:hAnsi="Calibri" w:cs="Calibri"/>
              </w:rPr>
            </w:pPr>
            <w:r w:rsidRPr="00A34FA3">
              <w:rPr>
                <w:rFonts w:ascii="Calibri" w:hAnsi="Calibri" w:cs="Calibri"/>
                <w:color w:val="000000"/>
                <w:sz w:val="17"/>
                <w:szCs w:val="17"/>
              </w:rPr>
              <w:t>~8×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43DEEC" w14:textId="77777777" w:rsidR="00FA36BF" w:rsidRPr="00A34FA3" w:rsidRDefault="00000000" w:rsidP="00E41EF4">
            <w:pPr>
              <w:rPr>
                <w:rFonts w:ascii="Calibri" w:hAnsi="Calibri" w:cs="Calibri"/>
              </w:rPr>
            </w:pPr>
            <w:r w:rsidRPr="00A34FA3">
              <w:rPr>
                <w:rFonts w:ascii="Calibri" w:hAnsi="Calibri" w:cs="Calibri"/>
                <w:color w:val="000000"/>
                <w:sz w:val="17"/>
                <w:szCs w:val="17"/>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CBE5D2" w14:textId="77777777" w:rsidR="00FA36BF" w:rsidRPr="00A34FA3" w:rsidRDefault="00000000" w:rsidP="00E41EF4">
            <w:pPr>
              <w:rPr>
                <w:rFonts w:ascii="Calibri" w:hAnsi="Calibri" w:cs="Calibri"/>
              </w:rPr>
            </w:pPr>
            <w:r w:rsidRPr="00A34FA3">
              <w:rPr>
                <w:rFonts w:ascii="Calibri" w:hAnsi="Calibri" w:cs="Calibri"/>
                <w:color w:val="000000"/>
                <w:sz w:val="17"/>
                <w:szCs w:val="17"/>
              </w:rPr>
              <w:t>Brand + private label</w:t>
            </w:r>
          </w:p>
        </w:tc>
      </w:tr>
      <w:tr w:rsidR="00FA36BF" w:rsidRPr="00A34FA3" w14:paraId="3D46050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698C44"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Sector Median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36DDC7" w14:textId="77777777" w:rsidR="00FA36BF" w:rsidRPr="00A34FA3" w:rsidRDefault="00000000" w:rsidP="00E41EF4">
            <w:pPr>
              <w:rPr>
                <w:rFonts w:ascii="Calibri" w:hAnsi="Calibri" w:cs="Calibri"/>
              </w:rPr>
            </w:pPr>
            <w:r w:rsidRPr="00A34FA3">
              <w:rPr>
                <w:rFonts w:ascii="Calibri" w:hAnsi="Calibri" w:cs="Calibri"/>
                <w:color w:val="000000"/>
                <w:sz w:val="17"/>
                <w:szCs w:val="17"/>
              </w:rPr>
              <w:t>~21×</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E6E34D" w14:textId="77777777" w:rsidR="00FA36BF" w:rsidRPr="00A34FA3" w:rsidRDefault="00000000" w:rsidP="00E41EF4">
            <w:pPr>
              <w:rPr>
                <w:rFonts w:ascii="Calibri" w:hAnsi="Calibri" w:cs="Calibri"/>
              </w:rPr>
            </w:pPr>
            <w:r w:rsidRPr="00A34FA3">
              <w:rPr>
                <w:rFonts w:ascii="Calibri" w:hAnsi="Calibri" w:cs="Calibri"/>
                <w:color w:val="000000"/>
                <w:sz w:val="17"/>
                <w:szCs w:val="17"/>
              </w:rPr>
              <w:t>~14×</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AAC9CE" w14:textId="77777777" w:rsidR="00FA36BF" w:rsidRPr="00A34FA3" w:rsidRDefault="00000000" w:rsidP="00E41EF4">
            <w:pPr>
              <w:rPr>
                <w:rFonts w:ascii="Calibri" w:hAnsi="Calibri" w:cs="Calibri"/>
              </w:rPr>
            </w:pPr>
            <w:r w:rsidRPr="00A34FA3">
              <w:rPr>
                <w:rFonts w:ascii="Calibri" w:hAnsi="Calibri" w:cs="Calibri"/>
                <w:color w:val="000000"/>
                <w:sz w:val="17"/>
                <w:szCs w:val="17"/>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0CAC97" w14:textId="77777777" w:rsidR="00FA36BF" w:rsidRPr="00A34FA3" w:rsidRDefault="00000000" w:rsidP="00E41EF4">
            <w:pPr>
              <w:rPr>
                <w:rFonts w:ascii="Calibri" w:hAnsi="Calibri" w:cs="Calibri"/>
              </w:rPr>
            </w:pPr>
            <w:r w:rsidRPr="00A34FA3">
              <w:rPr>
                <w:rFonts w:ascii="Calibri" w:hAnsi="Calibri" w:cs="Calibri"/>
                <w:color w:val="000000"/>
                <w:sz w:val="17"/>
                <w:szCs w:val="17"/>
              </w:rPr>
              <w:t>—</w:t>
            </w:r>
          </w:p>
        </w:tc>
      </w:tr>
    </w:tbl>
    <w:p w14:paraId="423AE3C9" w14:textId="77777777" w:rsidR="00FA36BF" w:rsidRPr="00A34FA3" w:rsidRDefault="00FA36BF" w:rsidP="00E41EF4">
      <w:pPr>
        <w:spacing w:before="80"/>
        <w:rPr>
          <w:rFonts w:ascii="Calibri" w:hAnsi="Calibri" w:cs="Calibri"/>
        </w:rPr>
      </w:pPr>
    </w:p>
    <w:p w14:paraId="6841697D" w14:textId="6D2E478B" w:rsidR="00FA36BF" w:rsidRPr="00A34FA3" w:rsidRDefault="00000000" w:rsidP="00E41EF4">
      <w:pPr>
        <w:spacing w:before="40" w:after="60"/>
        <w:rPr>
          <w:rFonts w:ascii="Calibri" w:hAnsi="Calibri" w:cs="Calibri"/>
        </w:rPr>
      </w:pPr>
      <w:r w:rsidRPr="00A34FA3">
        <w:rPr>
          <w:rFonts w:ascii="Calibri" w:hAnsi="Calibri" w:cs="Calibri"/>
          <w:sz w:val="19"/>
          <w:szCs w:val="19"/>
        </w:rPr>
        <w:t>Costco commands a 2–4× valuation premium relative to retail peers. This premium is fundamentally justified by the membership moat, superior ROIC, and FCF quality</w:t>
      </w:r>
      <w:r w:rsidR="00030F39">
        <w:rPr>
          <w:rFonts w:ascii="Calibri" w:hAnsi="Calibri" w:cs="Calibri"/>
          <w:sz w:val="19"/>
          <w:szCs w:val="19"/>
        </w:rPr>
        <w:t xml:space="preserve">, </w:t>
      </w:r>
      <w:r w:rsidRPr="00A34FA3">
        <w:rPr>
          <w:rFonts w:ascii="Calibri" w:hAnsi="Calibri" w:cs="Calibri"/>
          <w:sz w:val="19"/>
          <w:szCs w:val="19"/>
        </w:rPr>
        <w:t>but it creates a high bar for new entrants at current pricing.</w:t>
      </w:r>
    </w:p>
    <w:p w14:paraId="3078C796" w14:textId="77777777" w:rsidR="00FA36BF" w:rsidRPr="00A34FA3" w:rsidRDefault="00000000" w:rsidP="00E41EF4">
      <w:pPr>
        <w:pStyle w:val="Heading2"/>
        <w:rPr>
          <w:rFonts w:ascii="Calibri" w:hAnsi="Calibri" w:cs="Calibri"/>
        </w:rPr>
      </w:pPr>
      <w:r w:rsidRPr="00A34FA3">
        <w:rPr>
          <w:rFonts w:ascii="Calibri" w:hAnsi="Calibri" w:cs="Calibri"/>
        </w:rPr>
        <w:t>6.4 Shareholder Value Creation</w:t>
      </w:r>
    </w:p>
    <w:p w14:paraId="248DA3E7" w14:textId="54017D5E" w:rsidR="00FA36BF" w:rsidRPr="00A34FA3" w:rsidRDefault="00000000" w:rsidP="00E41EF4">
      <w:pPr>
        <w:spacing w:before="40" w:after="60"/>
        <w:rPr>
          <w:rFonts w:ascii="Calibri" w:hAnsi="Calibri" w:cs="Calibri"/>
        </w:rPr>
      </w:pPr>
      <w:r w:rsidRPr="00A34FA3">
        <w:rPr>
          <w:rFonts w:ascii="Calibri" w:hAnsi="Calibri" w:cs="Calibri"/>
          <w:sz w:val="19"/>
          <w:szCs w:val="19"/>
        </w:rPr>
        <w:t>Shareholders' earnings = EPS growth + Dividend yield. Over the past four fiscal years, Costco compounded EPS from $11.27 (FY2021) to ~$18.05 (FY2025), representing a CAGR of approximately 12.5%</w:t>
      </w:r>
      <w:r w:rsidR="00030F39">
        <w:rPr>
          <w:rFonts w:ascii="Calibri" w:hAnsi="Calibri" w:cs="Calibri"/>
          <w:sz w:val="19"/>
          <w:szCs w:val="19"/>
        </w:rPr>
        <w:t xml:space="preserve">, </w:t>
      </w:r>
      <w:r w:rsidRPr="00A34FA3">
        <w:rPr>
          <w:rFonts w:ascii="Calibri" w:hAnsi="Calibri" w:cs="Calibri"/>
          <w:sz w:val="19"/>
          <w:szCs w:val="19"/>
        </w:rPr>
        <w:t>comfortably exceeding the 10% benchmark. Adding the ~0.5% regular dividend yield and accounting for special dividends (five payments since 2013, including the $15.00/share in January 2024), total shareholder returns have significantly exceeded the 10% threshold. The September 2024 membership fee increase (Executive tier: $120→$130) is expected to contribute approximately $0.35–$0.40 to EPS in FY2026, providing a near-term earnings catalyst. Based on our analysis, sustaining &gt;10% compounding in shareholders' earnings over the next 3–5 years is achievable but requires the membership renewal rate to stabilize above 92% and tariff headwinds to remain manageable.</w:t>
      </w:r>
    </w:p>
    <w:p w14:paraId="68D5A9A9" w14:textId="77777777" w:rsidR="00FA36BF" w:rsidRPr="00A34FA3" w:rsidRDefault="00000000" w:rsidP="00E41EF4">
      <w:pPr>
        <w:pStyle w:val="Heading2"/>
        <w:rPr>
          <w:rFonts w:ascii="Calibri" w:hAnsi="Calibri" w:cs="Calibri"/>
        </w:rPr>
      </w:pPr>
      <w:r w:rsidRPr="00A34FA3">
        <w:rPr>
          <w:rFonts w:ascii="Calibri" w:hAnsi="Calibri" w:cs="Calibri"/>
        </w:rPr>
        <w:t>6.5 Forward Guidance</w:t>
      </w:r>
    </w:p>
    <w:p w14:paraId="67DAA2F1" w14:textId="77777777" w:rsidR="00FA36BF" w:rsidRPr="00A34FA3" w:rsidRDefault="00000000" w:rsidP="00E41EF4">
      <w:pPr>
        <w:spacing w:before="40" w:after="60"/>
        <w:rPr>
          <w:rFonts w:ascii="Calibri" w:hAnsi="Calibri" w:cs="Calibri"/>
        </w:rPr>
      </w:pPr>
      <w:r w:rsidRPr="00A34FA3">
        <w:rPr>
          <w:rFonts w:ascii="Calibri" w:hAnsi="Calibri" w:cs="Calibri"/>
          <w:sz w:val="19"/>
          <w:szCs w:val="19"/>
        </w:rPr>
        <w:t>TTM revenue through February 2026 reached $286.3B (+8.4% YoY), and TTM net income of $8.55B implies continuation of the 7–9% CAGR trajectory. Management has guided to 25–30 net new warehouse openings annually, with international stores (generating ~34% of operating income from ~27% of sales) representing the most accretive component of growth. A special dividend in 2026 or early 2027 is likely given operating cash flow of $14.76B and the historical 2–3-year special dividend cadence. E-commerce growth sustaining above 15% annually represents meaningful upside optionality not fully priced into our base case.</w:t>
      </w:r>
    </w:p>
    <w:p w14:paraId="49A9DCA1" w14:textId="77777777" w:rsidR="00FA36BF" w:rsidRPr="00A34FA3" w:rsidRDefault="00000000" w:rsidP="00E41EF4">
      <w:pPr>
        <w:rPr>
          <w:rFonts w:ascii="Calibri" w:hAnsi="Calibri" w:cs="Calibri"/>
        </w:rPr>
      </w:pPr>
      <w:r w:rsidRPr="00A34FA3">
        <w:rPr>
          <w:rFonts w:ascii="Calibri" w:hAnsi="Calibri" w:cs="Calibri"/>
        </w:rPr>
        <w:br w:type="page"/>
      </w:r>
    </w:p>
    <w:p w14:paraId="1481E79B" w14:textId="77777777" w:rsidR="00FA36BF" w:rsidRPr="00A34FA3" w:rsidRDefault="00000000" w:rsidP="004E3752">
      <w:pPr>
        <w:pBdr>
          <w:top w:val="single" w:sz="8" w:space="0" w:color="003366"/>
        </w:pBdr>
        <w:shd w:val="clear" w:color="auto" w:fill="C8960C"/>
        <w:spacing w:before="120" w:after="120"/>
        <w:jc w:val="center"/>
        <w:rPr>
          <w:rFonts w:ascii="Calibri" w:hAnsi="Calibri" w:cs="Calibri"/>
        </w:rPr>
      </w:pPr>
      <w:r w:rsidRPr="00A34FA3">
        <w:rPr>
          <w:rFonts w:ascii="Calibri" w:hAnsi="Calibri" w:cs="Calibri"/>
          <w:b/>
          <w:bCs/>
          <w:color w:val="FFFFFF"/>
          <w:sz w:val="28"/>
          <w:szCs w:val="28"/>
        </w:rPr>
        <w:lastRenderedPageBreak/>
        <w:t>SECTION 2B &amp; 2C: AI-ASSISTED ANALYSIS &amp; CRITICAL EVALUATION</w:t>
      </w:r>
    </w:p>
    <w:p w14:paraId="569ED3FD"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t>7. AI-Assisted Financial Analysis (Section 2B)</w:t>
      </w:r>
    </w:p>
    <w:p w14:paraId="263770F8" w14:textId="77777777" w:rsidR="00FA36BF" w:rsidRPr="00A34FA3" w:rsidRDefault="00000000" w:rsidP="00E41EF4">
      <w:pPr>
        <w:spacing w:before="40" w:after="60"/>
        <w:rPr>
          <w:rFonts w:ascii="Calibri" w:hAnsi="Calibri" w:cs="Calibri"/>
        </w:rPr>
      </w:pPr>
      <w:r w:rsidRPr="00A34FA3">
        <w:rPr>
          <w:rFonts w:ascii="Calibri" w:hAnsi="Calibri" w:cs="Calibri"/>
          <w:sz w:val="19"/>
          <w:szCs w:val="19"/>
        </w:rPr>
        <w:t>We employed two AI-assisted tools as analytical complements to the traditional analyses above: (1) Gemini (Google's large language model) to generate a summary equity research narrative; and (2) a Monte Carlo simulation (10,000 iterations) to model intrinsic value distributions across stochastic inputs.</w:t>
      </w:r>
    </w:p>
    <w:p w14:paraId="37F5AEB0" w14:textId="482E2DF3" w:rsidR="00FA36BF" w:rsidRPr="00A34FA3" w:rsidRDefault="00000000" w:rsidP="00E41EF4">
      <w:pPr>
        <w:pStyle w:val="Heading2"/>
        <w:rPr>
          <w:rFonts w:ascii="Calibri" w:hAnsi="Calibri" w:cs="Calibri"/>
        </w:rPr>
      </w:pPr>
      <w:r w:rsidRPr="00A34FA3">
        <w:rPr>
          <w:rFonts w:ascii="Calibri" w:hAnsi="Calibri" w:cs="Calibri"/>
        </w:rPr>
        <w:t>7.1 Gemini-Generated Analysis</w:t>
      </w:r>
      <w:r w:rsidR="00030F39">
        <w:rPr>
          <w:rFonts w:ascii="Calibri" w:hAnsi="Calibri" w:cs="Calibri"/>
        </w:rPr>
        <w:t xml:space="preserve">, </w:t>
      </w:r>
      <w:r w:rsidRPr="00A34FA3">
        <w:rPr>
          <w:rFonts w:ascii="Calibri" w:hAnsi="Calibri" w:cs="Calibri"/>
        </w:rPr>
        <w:t>Summary of Outputs</w:t>
      </w:r>
    </w:p>
    <w:p w14:paraId="673B728C"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Executive Summary: Gemini characterized Costco's 2022–2026 period as one of 'stable, high-margin expansion' and correctly identified membership renewal rates &gt;90% and predictable fee income as core earnings drivers.</w:t>
      </w:r>
    </w:p>
    <w:p w14:paraId="6EA6522D" w14:textId="20F9CB8C"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Revenue &amp; Earnings Figures: Gemini cited TTM revenue of $286.27B, net income of $8.55B for FY2026 (estimated), and a 7–9% CAGR</w:t>
      </w:r>
      <w:r w:rsidR="00030F39">
        <w:rPr>
          <w:rFonts w:ascii="Calibri" w:hAnsi="Calibri" w:cs="Calibri"/>
          <w:sz w:val="19"/>
          <w:szCs w:val="19"/>
        </w:rPr>
        <w:t xml:space="preserve">, </w:t>
      </w:r>
      <w:r w:rsidRPr="00A34FA3">
        <w:rPr>
          <w:rFonts w:ascii="Calibri" w:hAnsi="Calibri" w:cs="Calibri"/>
          <w:sz w:val="19"/>
          <w:szCs w:val="19"/>
        </w:rPr>
        <w:t>figures broadly consistent with SEC-reported data and our independent research.</w:t>
      </w:r>
    </w:p>
    <w:p w14:paraId="7DAB8912"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Industry Trends: Gemini noted e-commerce growth of ~22% in the prior year and referenced AI-driven checkout automation increasing warehouse throughput by ~20% in 2025/2026.</w:t>
      </w:r>
    </w:p>
    <w:p w14:paraId="38B67A24" w14:textId="3F733100"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Risk Assessment: Gemini identified the P/E premium (~52×) as a valuation risk, geopolitical supply chain exposure, and tariff uncertainty</w:t>
      </w:r>
      <w:r w:rsidR="00030F39">
        <w:rPr>
          <w:rFonts w:ascii="Calibri" w:hAnsi="Calibri" w:cs="Calibri"/>
          <w:sz w:val="19"/>
          <w:szCs w:val="19"/>
        </w:rPr>
        <w:t xml:space="preserve">, </w:t>
      </w:r>
      <w:r w:rsidRPr="00A34FA3">
        <w:rPr>
          <w:rFonts w:ascii="Calibri" w:hAnsi="Calibri" w:cs="Calibri"/>
          <w:sz w:val="19"/>
          <w:szCs w:val="19"/>
        </w:rPr>
        <w:t>all consistent with our human-led risk register.</w:t>
      </w:r>
    </w:p>
    <w:p w14:paraId="4B7881A2"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Monte Carlo Simulation: The model sampled FCF growth (μ=10%, σ=3%), WACC (μ=9%, σ=1.2%), and terminal growth rate (μ=3%, σ=0.5%) across 10,000 iterations, generating a distribution of intrinsic value estimates with WACC identified as the dominant driver of variance (66.7%).</w:t>
      </w:r>
    </w:p>
    <w:p w14:paraId="6911F36C"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t>8. Critical Evaluation of AI Outputs (Section 2C)</w:t>
      </w:r>
    </w:p>
    <w:p w14:paraId="70B472B0" w14:textId="77777777" w:rsidR="00FA36BF" w:rsidRPr="00A34FA3" w:rsidRDefault="00000000" w:rsidP="00E41EF4">
      <w:pPr>
        <w:pStyle w:val="Heading2"/>
        <w:rPr>
          <w:rFonts w:ascii="Calibri" w:hAnsi="Calibri" w:cs="Calibri"/>
        </w:rPr>
      </w:pPr>
      <w:r w:rsidRPr="00A34FA3">
        <w:rPr>
          <w:rFonts w:ascii="Calibri" w:hAnsi="Calibri" w:cs="Calibri"/>
        </w:rPr>
        <w:t>8.1 What AI Got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A36BF" w:rsidRPr="00A34FA3" w14:paraId="3FA361A6" w14:textId="77777777">
        <w:tc>
          <w:tcPr>
            <w:tcW w:w="260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55A0BED3"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Category</w:t>
            </w:r>
          </w:p>
        </w:tc>
        <w:tc>
          <w:tcPr>
            <w:tcW w:w="67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12C58C48"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Detail</w:t>
            </w:r>
          </w:p>
        </w:tc>
      </w:tr>
      <w:tr w:rsidR="00FA36BF" w:rsidRPr="00A34FA3" w14:paraId="0BD0117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79E5FFAF"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Membership Moat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8EC960" w14:textId="44EE1DC8" w:rsidR="00FA36BF" w:rsidRPr="00A34FA3" w:rsidRDefault="00000000" w:rsidP="00E41EF4">
            <w:pPr>
              <w:rPr>
                <w:rFonts w:ascii="Calibri" w:hAnsi="Calibri" w:cs="Calibri"/>
              </w:rPr>
            </w:pPr>
            <w:r w:rsidRPr="00A34FA3">
              <w:rPr>
                <w:rFonts w:ascii="Calibri" w:hAnsi="Calibri" w:cs="Calibri"/>
                <w:color w:val="000000"/>
                <w:sz w:val="17"/>
                <w:szCs w:val="17"/>
              </w:rPr>
              <w:t>Gemini correctly identified the membership renewal rate (&gt;90%) as the structural anchor of the business model and correctly linked fee income to near-100% gross margin</w:t>
            </w:r>
            <w:r w:rsidR="00030F39">
              <w:rPr>
                <w:rFonts w:ascii="Calibri" w:hAnsi="Calibri" w:cs="Calibri"/>
                <w:color w:val="000000"/>
                <w:sz w:val="17"/>
                <w:szCs w:val="17"/>
              </w:rPr>
              <w:t xml:space="preserve">, </w:t>
            </w:r>
            <w:r w:rsidRPr="00A34FA3">
              <w:rPr>
                <w:rFonts w:ascii="Calibri" w:hAnsi="Calibri" w:cs="Calibri"/>
                <w:color w:val="000000"/>
                <w:sz w:val="17"/>
                <w:szCs w:val="17"/>
              </w:rPr>
              <w:t>consistent with our Porter's Five Forces analysis.</w:t>
            </w:r>
          </w:p>
        </w:tc>
      </w:tr>
      <w:tr w:rsidR="00FA36BF" w:rsidRPr="00A34FA3" w14:paraId="3670B99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483AAE70"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Revenue &amp; Earnings Trajectory</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2DEF9" w14:textId="77777777" w:rsidR="00FA36BF" w:rsidRPr="00A34FA3" w:rsidRDefault="00000000" w:rsidP="00E41EF4">
            <w:pPr>
              <w:rPr>
                <w:rFonts w:ascii="Calibri" w:hAnsi="Calibri" w:cs="Calibri"/>
              </w:rPr>
            </w:pPr>
            <w:r w:rsidRPr="00A34FA3">
              <w:rPr>
                <w:rFonts w:ascii="Calibri" w:hAnsi="Calibri" w:cs="Calibri"/>
                <w:color w:val="000000"/>
                <w:sz w:val="17"/>
                <w:szCs w:val="17"/>
              </w:rPr>
              <w:t>The figures cited ($286.27B TTM revenue, $8.55B net income, 7–9% CAGR) are broadly consistent with SEC filings and our independent verification. AI captured the directional trend accurately.</w:t>
            </w:r>
          </w:p>
        </w:tc>
      </w:tr>
      <w:tr w:rsidR="00FA36BF" w:rsidRPr="00A34FA3" w14:paraId="606DBFA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1D8CCC78"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Valuation Risk at 52× P/E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8CDFAD" w14:textId="77777777" w:rsidR="00FA36BF" w:rsidRPr="00A34FA3" w:rsidRDefault="00000000" w:rsidP="00E41EF4">
            <w:pPr>
              <w:rPr>
                <w:rFonts w:ascii="Calibri" w:hAnsi="Calibri" w:cs="Calibri"/>
              </w:rPr>
            </w:pPr>
            <w:r w:rsidRPr="00A34FA3">
              <w:rPr>
                <w:rFonts w:ascii="Calibri" w:hAnsi="Calibri" w:cs="Calibri"/>
                <w:color w:val="000000"/>
                <w:sz w:val="17"/>
                <w:szCs w:val="17"/>
              </w:rPr>
              <w:t>Gemini flagged the valuation premium over peers (P/E ~52× vs. Walmart ~28×) as the primary risk factor. This is directionally correct and aligned with our multiples analysis showing COST at 31% above its 10-year average P/E.</w:t>
            </w:r>
          </w:p>
        </w:tc>
      </w:tr>
      <w:tr w:rsidR="00FA36BF" w:rsidRPr="00A34FA3" w14:paraId="4001B0F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6D5E07F0"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Monte Carlo Variance Attribution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636AB6" w14:textId="77777777" w:rsidR="00FA36BF" w:rsidRPr="00A34FA3" w:rsidRDefault="00000000" w:rsidP="00E41EF4">
            <w:pPr>
              <w:rPr>
                <w:rFonts w:ascii="Calibri" w:hAnsi="Calibri" w:cs="Calibri"/>
              </w:rPr>
            </w:pPr>
            <w:r w:rsidRPr="00A34FA3">
              <w:rPr>
                <w:rFonts w:ascii="Calibri" w:hAnsi="Calibri" w:cs="Calibri"/>
                <w:color w:val="000000"/>
                <w:sz w:val="17"/>
                <w:szCs w:val="17"/>
              </w:rPr>
              <w:t>The simulation's finding that WACC drives 66.7% of intrinsic value variance is analytically sound and directionally important. It correctly highlights interest rate risk as the dominant single threat to the bull case.</w:t>
            </w:r>
          </w:p>
        </w:tc>
      </w:tr>
      <w:tr w:rsidR="00FA36BF" w:rsidRPr="00A34FA3" w14:paraId="694A75F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1BEDEBD0"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Special Dividend Anticipation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7C515F" w14:textId="77777777" w:rsidR="00FA36BF" w:rsidRPr="00A34FA3" w:rsidRDefault="00000000" w:rsidP="00E41EF4">
            <w:pPr>
              <w:rPr>
                <w:rFonts w:ascii="Calibri" w:hAnsi="Calibri" w:cs="Calibri"/>
              </w:rPr>
            </w:pPr>
            <w:r w:rsidRPr="00A34FA3">
              <w:rPr>
                <w:rFonts w:ascii="Calibri" w:hAnsi="Calibri" w:cs="Calibri"/>
                <w:color w:val="000000"/>
                <w:sz w:val="17"/>
                <w:szCs w:val="17"/>
              </w:rPr>
              <w:t>Gemini's projection of a $12–$15 special dividend in late 2026 or 2027 is directionally plausible given the $14.76B in operating cash flow and the historical 2–3-year cadence. This passed our analytical scrutiny.</w:t>
            </w:r>
          </w:p>
        </w:tc>
      </w:tr>
    </w:tbl>
    <w:p w14:paraId="689B5C84" w14:textId="77777777" w:rsidR="00FA36BF" w:rsidRPr="00A34FA3" w:rsidRDefault="00FA36BF" w:rsidP="00E41EF4">
      <w:pPr>
        <w:spacing w:before="60"/>
        <w:rPr>
          <w:rFonts w:ascii="Calibri" w:hAnsi="Calibri" w:cs="Calibri"/>
        </w:rPr>
      </w:pPr>
    </w:p>
    <w:p w14:paraId="2B39161C" w14:textId="77777777" w:rsidR="00FA36BF" w:rsidRPr="00A34FA3" w:rsidRDefault="00000000" w:rsidP="00E41EF4">
      <w:pPr>
        <w:pStyle w:val="Heading2"/>
        <w:rPr>
          <w:rFonts w:ascii="Calibri" w:hAnsi="Calibri" w:cs="Calibri"/>
        </w:rPr>
      </w:pPr>
      <w:r w:rsidRPr="00A34FA3">
        <w:rPr>
          <w:rFonts w:ascii="Calibri" w:hAnsi="Calibri" w:cs="Calibri"/>
        </w:rPr>
        <w:t>8.2 What AI Got Wrong or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A36BF" w:rsidRPr="00A34FA3" w14:paraId="1178DF13" w14:textId="77777777">
        <w:tc>
          <w:tcPr>
            <w:tcW w:w="260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48120810"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Category</w:t>
            </w:r>
          </w:p>
        </w:tc>
        <w:tc>
          <w:tcPr>
            <w:tcW w:w="67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76CC2A1F"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Detail</w:t>
            </w:r>
          </w:p>
        </w:tc>
      </w:tr>
      <w:tr w:rsidR="00FA36BF" w:rsidRPr="00A34FA3" w14:paraId="7A570C1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6512A076"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Intrinsic Value Inconsistency</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A2B06D" w14:textId="647F6E8E" w:rsidR="00FA36BF" w:rsidRPr="00A34FA3" w:rsidRDefault="00000000" w:rsidP="00E41EF4">
            <w:pPr>
              <w:rPr>
                <w:rFonts w:ascii="Calibri" w:hAnsi="Calibri" w:cs="Calibri"/>
              </w:rPr>
            </w:pPr>
            <w:r w:rsidRPr="00A34FA3">
              <w:rPr>
                <w:rFonts w:ascii="Calibri" w:hAnsi="Calibri" w:cs="Calibri"/>
                <w:color w:val="000000"/>
                <w:sz w:val="17"/>
                <w:szCs w:val="17"/>
              </w:rPr>
              <w:t>Gemini's DCF cited an intrinsic value of $846.25/share, while the Monte Carlo output asserted a 70% probability of fair value between $920–$1,100. These two outputs are internally inconsistent</w:t>
            </w:r>
            <w:r w:rsidR="00030F39">
              <w:rPr>
                <w:rFonts w:ascii="Calibri" w:hAnsi="Calibri" w:cs="Calibri"/>
                <w:color w:val="000000"/>
                <w:sz w:val="17"/>
                <w:szCs w:val="17"/>
              </w:rPr>
              <w:t xml:space="preserve">, </w:t>
            </w:r>
            <w:r w:rsidRPr="00A34FA3">
              <w:rPr>
                <w:rFonts w:ascii="Calibri" w:hAnsi="Calibri" w:cs="Calibri"/>
                <w:color w:val="000000"/>
                <w:sz w:val="17"/>
                <w:szCs w:val="17"/>
              </w:rPr>
              <w:t>Gemini failed to reconcile the discrepancy or acknowledge the contradiction. A rigorous analyst would flag and resolve this.</w:t>
            </w:r>
          </w:p>
        </w:tc>
      </w:tr>
      <w:tr w:rsidR="00FA36BF" w:rsidRPr="00A34FA3" w14:paraId="20D7848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78783EB9"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AI-Driven Throughput Claim</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0B3405" w14:textId="16BAB61E" w:rsidR="00FA36BF" w:rsidRPr="00A34FA3" w:rsidRDefault="00000000" w:rsidP="00E41EF4">
            <w:pPr>
              <w:rPr>
                <w:rFonts w:ascii="Calibri" w:hAnsi="Calibri" w:cs="Calibri"/>
              </w:rPr>
            </w:pPr>
            <w:r w:rsidRPr="00A34FA3">
              <w:rPr>
                <w:rFonts w:ascii="Calibri" w:hAnsi="Calibri" w:cs="Calibri"/>
                <w:color w:val="000000"/>
                <w:sz w:val="17"/>
                <w:szCs w:val="17"/>
              </w:rPr>
              <w:t>Gemini stated that 'AI-driven checkout technology increased warehouse throughput by ~20%' in 2025/2026. This figure does not appear in Costco's SEC filings, earnings call transcripts, or any verifiable source reviewed by our team. This is a probable hallucination</w:t>
            </w:r>
            <w:r w:rsidR="00030F39">
              <w:rPr>
                <w:rFonts w:ascii="Calibri" w:hAnsi="Calibri" w:cs="Calibri"/>
                <w:color w:val="000000"/>
                <w:sz w:val="17"/>
                <w:szCs w:val="17"/>
              </w:rPr>
              <w:t xml:space="preserve">, </w:t>
            </w:r>
            <w:r w:rsidRPr="00A34FA3">
              <w:rPr>
                <w:rFonts w:ascii="Calibri" w:hAnsi="Calibri" w:cs="Calibri"/>
                <w:color w:val="000000"/>
                <w:sz w:val="17"/>
                <w:szCs w:val="17"/>
              </w:rPr>
              <w:t>a fabricated data point presented with false precision.</w:t>
            </w:r>
          </w:p>
        </w:tc>
      </w:tr>
      <w:tr w:rsidR="00FA36BF" w:rsidRPr="00A34FA3" w14:paraId="7572C28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0704DBCF"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lastRenderedPageBreak/>
              <w:t>E-Commerce Growth Overstated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714BB8" w14:textId="781C4BC9" w:rsidR="00FA36BF" w:rsidRPr="00A34FA3" w:rsidRDefault="00000000" w:rsidP="00E41EF4">
            <w:pPr>
              <w:rPr>
                <w:rFonts w:ascii="Calibri" w:hAnsi="Calibri" w:cs="Calibri"/>
              </w:rPr>
            </w:pPr>
            <w:r w:rsidRPr="00A34FA3">
              <w:rPr>
                <w:rFonts w:ascii="Calibri" w:hAnsi="Calibri" w:cs="Calibri"/>
                <w:color w:val="000000"/>
                <w:sz w:val="17"/>
                <w:szCs w:val="17"/>
              </w:rPr>
              <w:t>Gemini cited online sales growth of ~22% in 'the last year.' Actual SEC-verified data from Q2 FY2025 10-Q shows digital comparable sales of +20.9% (Q2) and +15.6% (full FY2025). The 22% figure conflates a single-quarter high with a full-year trend</w:t>
            </w:r>
            <w:r w:rsidR="00030F39">
              <w:rPr>
                <w:rFonts w:ascii="Calibri" w:hAnsi="Calibri" w:cs="Calibri"/>
                <w:color w:val="000000"/>
                <w:sz w:val="17"/>
                <w:szCs w:val="17"/>
              </w:rPr>
              <w:t xml:space="preserve">, </w:t>
            </w:r>
            <w:r w:rsidRPr="00A34FA3">
              <w:rPr>
                <w:rFonts w:ascii="Calibri" w:hAnsi="Calibri" w:cs="Calibri"/>
                <w:color w:val="000000"/>
                <w:sz w:val="17"/>
                <w:szCs w:val="17"/>
              </w:rPr>
              <w:t>a material misrepresentation of the true growth trajectory.</w:t>
            </w:r>
          </w:p>
        </w:tc>
      </w:tr>
      <w:tr w:rsidR="00FA36BF" w:rsidRPr="00A34FA3" w14:paraId="5AB6BBB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4E9DE2CD"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No Balance Sheet Analysis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12B502" w14:textId="77777777" w:rsidR="00FA36BF" w:rsidRPr="00A34FA3" w:rsidRDefault="00000000" w:rsidP="00E41EF4">
            <w:pPr>
              <w:rPr>
                <w:rFonts w:ascii="Calibri" w:hAnsi="Calibri" w:cs="Calibri"/>
              </w:rPr>
            </w:pPr>
            <w:r w:rsidRPr="00A34FA3">
              <w:rPr>
                <w:rFonts w:ascii="Calibri" w:hAnsi="Calibri" w:cs="Calibri"/>
                <w:color w:val="000000"/>
                <w:sz w:val="17"/>
                <w:szCs w:val="17"/>
              </w:rPr>
              <w:t>Despite the rubric's explicit requirement for balance sheet quality assessment (tangible vs. intangible assets, goodwill structure), Gemini provided no balance sheet analysis whatsoever. This is a significant omission reflecting AI's tendency to prioritize narrative over structural accounting discipline.</w:t>
            </w:r>
          </w:p>
        </w:tc>
      </w:tr>
      <w:tr w:rsidR="00FA36BF" w:rsidRPr="00A34FA3" w14:paraId="1FC8C2D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2F4CE301" w14:textId="77777777" w:rsidR="00FA36BF" w:rsidRPr="00A34FA3" w:rsidRDefault="00000000" w:rsidP="00E41EF4">
            <w:pPr>
              <w:rPr>
                <w:rFonts w:ascii="Calibri" w:hAnsi="Calibri" w:cs="Calibri"/>
              </w:rPr>
            </w:pPr>
            <w:r w:rsidRPr="00A34FA3">
              <w:rPr>
                <w:rFonts w:ascii="Calibri" w:hAnsi="Calibri" w:cs="Calibri"/>
                <w:b/>
                <w:bCs/>
                <w:color w:val="000000"/>
                <w:sz w:val="17"/>
                <w:szCs w:val="17"/>
              </w:rPr>
              <w:t>Institutional Context Missing</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AD70AF" w14:textId="06F54233" w:rsidR="00FA36BF" w:rsidRPr="00A34FA3" w:rsidRDefault="00000000" w:rsidP="00E41EF4">
            <w:pPr>
              <w:rPr>
                <w:rFonts w:ascii="Calibri" w:hAnsi="Calibri" w:cs="Calibri"/>
              </w:rPr>
            </w:pPr>
            <w:r w:rsidRPr="00A34FA3">
              <w:rPr>
                <w:rFonts w:ascii="Calibri" w:hAnsi="Calibri" w:cs="Calibri"/>
                <w:color w:val="000000"/>
                <w:sz w:val="17"/>
                <w:szCs w:val="17"/>
              </w:rPr>
              <w:t>Gemini's strategic recommendations ('HOLD for institutional portfolios; ACCUMULATE ON DIPS for growth investors') lacked any discussion of position sizing, portfolio construction context, or client suitability</w:t>
            </w:r>
            <w:r w:rsidR="00030F39">
              <w:rPr>
                <w:rFonts w:ascii="Calibri" w:hAnsi="Calibri" w:cs="Calibri"/>
                <w:color w:val="000000"/>
                <w:sz w:val="17"/>
                <w:szCs w:val="17"/>
              </w:rPr>
              <w:t xml:space="preserve">, </w:t>
            </w:r>
            <w:r w:rsidRPr="00A34FA3">
              <w:rPr>
                <w:rFonts w:ascii="Calibri" w:hAnsi="Calibri" w:cs="Calibri"/>
                <w:color w:val="000000"/>
                <w:sz w:val="17"/>
                <w:szCs w:val="17"/>
              </w:rPr>
              <w:t>standard components of a professional investment recommendation.</w:t>
            </w:r>
          </w:p>
        </w:tc>
      </w:tr>
    </w:tbl>
    <w:p w14:paraId="73E68C36" w14:textId="77777777" w:rsidR="00FA36BF" w:rsidRPr="00A34FA3" w:rsidRDefault="00FA36BF" w:rsidP="00E41EF4">
      <w:pPr>
        <w:spacing w:before="60"/>
        <w:rPr>
          <w:rFonts w:ascii="Calibri" w:hAnsi="Calibri" w:cs="Calibri"/>
        </w:rPr>
      </w:pPr>
    </w:p>
    <w:p w14:paraId="6E9DEDF9" w14:textId="77777777" w:rsidR="00FA36BF" w:rsidRPr="00A34FA3" w:rsidRDefault="00000000" w:rsidP="00E41EF4">
      <w:pPr>
        <w:pStyle w:val="Heading2"/>
        <w:rPr>
          <w:rFonts w:ascii="Calibri" w:hAnsi="Calibri" w:cs="Calibri"/>
        </w:rPr>
      </w:pPr>
      <w:r w:rsidRPr="00A34FA3">
        <w:rPr>
          <w:rFonts w:ascii="Calibri" w:hAnsi="Calibri" w:cs="Calibri"/>
        </w:rPr>
        <w:t>8.3 What We Accepted from the AI Analysis</w:t>
      </w:r>
    </w:p>
    <w:p w14:paraId="3BBF5B20" w14:textId="3C8C84E1"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Membership moat framing and renewal rate emphasis</w:t>
      </w:r>
      <w:r w:rsidR="00030F39">
        <w:rPr>
          <w:rFonts w:ascii="Calibri" w:hAnsi="Calibri" w:cs="Calibri"/>
          <w:sz w:val="19"/>
          <w:szCs w:val="19"/>
        </w:rPr>
        <w:t xml:space="preserve">, </w:t>
      </w:r>
      <w:r w:rsidRPr="00A34FA3">
        <w:rPr>
          <w:rFonts w:ascii="Calibri" w:hAnsi="Calibri" w:cs="Calibri"/>
          <w:sz w:val="19"/>
          <w:szCs w:val="19"/>
        </w:rPr>
        <w:t>directionally correct, consistent with our human-led analysis, and useful for structuring the competitive advantage narrative.</w:t>
      </w:r>
    </w:p>
    <w:p w14:paraId="3717A33B" w14:textId="2A60B929"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The identification of tariff uncertainty, geopolitical supply chain exposure, and Amazon rivalry as key risk factors</w:t>
      </w:r>
      <w:r w:rsidR="00030F39">
        <w:rPr>
          <w:rFonts w:ascii="Calibri" w:hAnsi="Calibri" w:cs="Calibri"/>
          <w:sz w:val="19"/>
          <w:szCs w:val="19"/>
        </w:rPr>
        <w:t xml:space="preserve">, </w:t>
      </w:r>
      <w:r w:rsidRPr="00A34FA3">
        <w:rPr>
          <w:rFonts w:ascii="Calibri" w:hAnsi="Calibri" w:cs="Calibri"/>
          <w:sz w:val="19"/>
          <w:szCs w:val="19"/>
        </w:rPr>
        <w:t>all validated against our independent research.</w:t>
      </w:r>
    </w:p>
    <w:p w14:paraId="20DDE8A6" w14:textId="764F9BBA"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The Monte Carlo's WACC variance attribution (66.7%)</w:t>
      </w:r>
      <w:r w:rsidR="00030F39">
        <w:rPr>
          <w:rFonts w:ascii="Calibri" w:hAnsi="Calibri" w:cs="Calibri"/>
          <w:sz w:val="19"/>
          <w:szCs w:val="19"/>
        </w:rPr>
        <w:t xml:space="preserve">, </w:t>
      </w:r>
      <w:r w:rsidRPr="00A34FA3">
        <w:rPr>
          <w:rFonts w:ascii="Calibri" w:hAnsi="Calibri" w:cs="Calibri"/>
          <w:sz w:val="19"/>
          <w:szCs w:val="19"/>
        </w:rPr>
        <w:t>methodologically sound and retained as a key risk communication tool in our valuation section.</w:t>
      </w:r>
    </w:p>
    <w:p w14:paraId="7C32F674" w14:textId="5871FAA9"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The special dividend projection</w:t>
      </w:r>
      <w:r w:rsidR="00030F39">
        <w:rPr>
          <w:rFonts w:ascii="Calibri" w:hAnsi="Calibri" w:cs="Calibri"/>
          <w:sz w:val="19"/>
          <w:szCs w:val="19"/>
        </w:rPr>
        <w:t xml:space="preserve">, </w:t>
      </w:r>
      <w:r w:rsidRPr="00A34FA3">
        <w:rPr>
          <w:rFonts w:ascii="Calibri" w:hAnsi="Calibri" w:cs="Calibri"/>
          <w:sz w:val="19"/>
          <w:szCs w:val="19"/>
        </w:rPr>
        <w:t>supported by operating cash flow data from SEC filings and consistent with Costco's historical dividend cadence.</w:t>
      </w:r>
    </w:p>
    <w:p w14:paraId="4A25AB4A" w14:textId="77777777" w:rsidR="00FA36BF" w:rsidRPr="00A34FA3" w:rsidRDefault="00000000" w:rsidP="00E41EF4">
      <w:pPr>
        <w:pStyle w:val="Heading2"/>
        <w:rPr>
          <w:rFonts w:ascii="Calibri" w:hAnsi="Calibri" w:cs="Calibri"/>
        </w:rPr>
      </w:pPr>
      <w:r w:rsidRPr="00A34FA3">
        <w:rPr>
          <w:rFonts w:ascii="Calibri" w:hAnsi="Calibri" w:cs="Calibri"/>
        </w:rPr>
        <w:t>8.4 What We Discarded and Why</w:t>
      </w:r>
    </w:p>
    <w:p w14:paraId="22290622" w14:textId="3F865469"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The $846.25 DCF intrinsic value: Discarded because Gemini did not disclose the specific FCF projection schedule, the terminal year free cash flow, or the share count used</w:t>
      </w:r>
      <w:r w:rsidR="00030F39">
        <w:rPr>
          <w:rFonts w:ascii="Calibri" w:hAnsi="Calibri" w:cs="Calibri"/>
          <w:sz w:val="19"/>
          <w:szCs w:val="19"/>
        </w:rPr>
        <w:t xml:space="preserve">, </w:t>
      </w:r>
      <w:r w:rsidRPr="00A34FA3">
        <w:rPr>
          <w:rFonts w:ascii="Calibri" w:hAnsi="Calibri" w:cs="Calibri"/>
          <w:sz w:val="19"/>
          <w:szCs w:val="19"/>
        </w:rPr>
        <w:t xml:space="preserve">making the output </w:t>
      </w:r>
      <w:proofErr w:type="spellStart"/>
      <w:r w:rsidRPr="00A34FA3">
        <w:rPr>
          <w:rFonts w:ascii="Calibri" w:hAnsi="Calibri" w:cs="Calibri"/>
          <w:sz w:val="19"/>
          <w:szCs w:val="19"/>
        </w:rPr>
        <w:t>unauditable</w:t>
      </w:r>
      <w:proofErr w:type="spellEnd"/>
      <w:r w:rsidRPr="00A34FA3">
        <w:rPr>
          <w:rFonts w:ascii="Calibri" w:hAnsi="Calibri" w:cs="Calibri"/>
          <w:sz w:val="19"/>
          <w:szCs w:val="19"/>
        </w:rPr>
        <w:t>. Our own model uses a disclosed $7.84B base FCF, ~444M shares, explicit FCF growth assumptions, and a sensitivity matrix.</w:t>
      </w:r>
    </w:p>
    <w:p w14:paraId="1ADD0E6F"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The ~20% AI-driven throughput improvement claim: Discarded entirely as an unverified, likely hallucinated figure with no SEC filing or credible press source to substantiate it. Accepting it would have introduced material misinformation into our analysis.</w:t>
      </w:r>
    </w:p>
    <w:p w14:paraId="1095F843" w14:textId="7DCA7E69"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The 70% probability ($920–$1,100 range) from the Monte Carlo without reconciliation to the DCF: Discarded pending our own reconciliation. Our analysis finds the Monte Carlo range plausible only under the bull-case scenario, which requires assumptions above historical norms.</w:t>
      </w:r>
    </w:p>
    <w:p w14:paraId="6461E480" w14:textId="68E164BA" w:rsidR="00FA36BF" w:rsidRPr="00A34FA3" w:rsidRDefault="00000000" w:rsidP="00E41EF4">
      <w:pPr>
        <w:pStyle w:val="Heading2"/>
        <w:rPr>
          <w:rFonts w:ascii="Calibri" w:hAnsi="Calibri" w:cs="Calibri"/>
        </w:rPr>
      </w:pPr>
      <w:r w:rsidRPr="00A34FA3">
        <w:rPr>
          <w:rFonts w:ascii="Calibri" w:hAnsi="Calibri" w:cs="Calibri"/>
        </w:rPr>
        <w:t>8.5 How AI Enhances Equity Research</w:t>
      </w:r>
      <w:r w:rsidR="00030F39">
        <w:rPr>
          <w:rFonts w:ascii="Calibri" w:hAnsi="Calibri" w:cs="Calibri"/>
        </w:rPr>
        <w:t xml:space="preserve">, </w:t>
      </w:r>
      <w:r w:rsidRPr="00A34FA3">
        <w:rPr>
          <w:rFonts w:ascii="Calibri" w:hAnsi="Calibri" w:cs="Calibri"/>
        </w:rPr>
        <w:t>Reflections on Integration</w:t>
      </w:r>
    </w:p>
    <w:p w14:paraId="1A87EB41" w14:textId="77777777" w:rsidR="00FA36BF" w:rsidRPr="00A34FA3" w:rsidRDefault="00000000" w:rsidP="00E41EF4">
      <w:pPr>
        <w:spacing w:before="40" w:after="60"/>
        <w:rPr>
          <w:rFonts w:ascii="Calibri" w:hAnsi="Calibri" w:cs="Calibri"/>
        </w:rPr>
      </w:pPr>
      <w:r w:rsidRPr="00A34FA3">
        <w:rPr>
          <w:rFonts w:ascii="Calibri" w:hAnsi="Calibri" w:cs="Calibri"/>
          <w:sz w:val="19"/>
          <w:szCs w:val="19"/>
        </w:rPr>
        <w:t>Our experience using Gemini as an analytical assistant for this project produced several actionable conclusions about the appropriate role of AI in professional equity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A36BF" w:rsidRPr="00A34FA3" w14:paraId="3EFFD9A6" w14:textId="77777777">
        <w:tc>
          <w:tcPr>
            <w:tcW w:w="280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6B58CD8A"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Dimension</w:t>
            </w:r>
          </w:p>
        </w:tc>
        <w:tc>
          <w:tcPr>
            <w:tcW w:w="65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48D2186D"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Our Assessment</w:t>
            </w:r>
          </w:p>
        </w:tc>
      </w:tr>
      <w:tr w:rsidR="00FA36BF" w:rsidRPr="00A34FA3" w14:paraId="20729B8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4D9D27"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Speed vs. Judgment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92D7EE" w14:textId="65F763F4" w:rsidR="00FA36BF" w:rsidRPr="00A34FA3" w:rsidRDefault="00000000" w:rsidP="00E41EF4">
            <w:pPr>
              <w:rPr>
                <w:rFonts w:ascii="Calibri" w:hAnsi="Calibri" w:cs="Calibri"/>
              </w:rPr>
            </w:pPr>
            <w:r w:rsidRPr="00A34FA3">
              <w:rPr>
                <w:rFonts w:ascii="Calibri" w:hAnsi="Calibri" w:cs="Calibri"/>
                <w:color w:val="000000"/>
                <w:sz w:val="18"/>
                <w:szCs w:val="18"/>
              </w:rPr>
              <w:t>AI dramatically accelerated the synthesis of qualitative narrative</w:t>
            </w:r>
            <w:r w:rsidR="00030F39">
              <w:rPr>
                <w:rFonts w:ascii="Calibri" w:hAnsi="Calibri" w:cs="Calibri"/>
                <w:color w:val="000000"/>
                <w:sz w:val="18"/>
                <w:szCs w:val="18"/>
              </w:rPr>
              <w:t xml:space="preserve">, </w:t>
            </w:r>
            <w:r w:rsidRPr="00A34FA3">
              <w:rPr>
                <w:rFonts w:ascii="Calibri" w:hAnsi="Calibri" w:cs="Calibri"/>
                <w:color w:val="000000"/>
                <w:sz w:val="18"/>
                <w:szCs w:val="18"/>
              </w:rPr>
              <w:t xml:space="preserve">competitive moat framing, industry trend identification, and risk enumeration were produced in minutes. However, AI exercised no judgment about which risks are material, quantitatively significant, or </w:t>
            </w:r>
            <w:r w:rsidR="00A34FA3" w:rsidRPr="00A34FA3">
              <w:rPr>
                <w:rFonts w:ascii="Calibri" w:hAnsi="Calibri" w:cs="Calibri"/>
                <w:color w:val="000000"/>
                <w:sz w:val="18"/>
                <w:szCs w:val="18"/>
              </w:rPr>
              <w:t>firm specific</w:t>
            </w:r>
            <w:r w:rsidRPr="00A34FA3">
              <w:rPr>
                <w:rFonts w:ascii="Calibri" w:hAnsi="Calibri" w:cs="Calibri"/>
                <w:color w:val="000000"/>
                <w:sz w:val="18"/>
                <w:szCs w:val="18"/>
              </w:rPr>
              <w:t>. Speed without judgment produces comprehensive but undiscriminating output.</w:t>
            </w:r>
          </w:p>
        </w:tc>
      </w:tr>
      <w:tr w:rsidR="00FA36BF" w:rsidRPr="00A34FA3" w14:paraId="486DD5F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C6651C"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Pattern Recognition vs. Economic Reasoning</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21CACC" w14:textId="64BA7F7B" w:rsidR="00FA36BF" w:rsidRPr="00A34FA3" w:rsidRDefault="00000000" w:rsidP="00E41EF4">
            <w:pPr>
              <w:rPr>
                <w:rFonts w:ascii="Calibri" w:hAnsi="Calibri" w:cs="Calibri"/>
              </w:rPr>
            </w:pPr>
            <w:r w:rsidRPr="00A34FA3">
              <w:rPr>
                <w:rFonts w:ascii="Calibri" w:hAnsi="Calibri" w:cs="Calibri"/>
                <w:color w:val="000000"/>
                <w:sz w:val="18"/>
                <w:szCs w:val="18"/>
              </w:rPr>
              <w:t>The Monte Carlo simulation efficiently generated 10,000 valuation scenarios and identified WACC as the dominant variance driver</w:t>
            </w:r>
            <w:r w:rsidR="00030F39">
              <w:rPr>
                <w:rFonts w:ascii="Calibri" w:hAnsi="Calibri" w:cs="Calibri"/>
                <w:color w:val="000000"/>
                <w:sz w:val="18"/>
                <w:szCs w:val="18"/>
              </w:rPr>
              <w:t xml:space="preserve">, </w:t>
            </w:r>
            <w:r w:rsidRPr="00A34FA3">
              <w:rPr>
                <w:rFonts w:ascii="Calibri" w:hAnsi="Calibri" w:cs="Calibri"/>
                <w:color w:val="000000"/>
                <w:sz w:val="18"/>
                <w:szCs w:val="18"/>
              </w:rPr>
              <w:t>a genuine contribution. But AI could not explain why WACC might change (monetary policy, credit spreads, equity risk premium shifts) or link it to macroeconomic context. Pattern recognition without causal reasoning produces insights that are difficult to act on.</w:t>
            </w:r>
          </w:p>
        </w:tc>
      </w:tr>
      <w:tr w:rsidR="00FA36BF" w:rsidRPr="00A34FA3" w14:paraId="0D669F0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B6471D"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Automation vs. Accountability</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D2E9F8" w14:textId="101FF5F8" w:rsidR="00FA36BF" w:rsidRPr="00A34FA3" w:rsidRDefault="00000000" w:rsidP="00E41EF4">
            <w:pPr>
              <w:rPr>
                <w:rFonts w:ascii="Calibri" w:hAnsi="Calibri" w:cs="Calibri"/>
              </w:rPr>
            </w:pPr>
            <w:r w:rsidRPr="00A34FA3">
              <w:rPr>
                <w:rFonts w:ascii="Calibri" w:hAnsi="Calibri" w:cs="Calibri"/>
                <w:color w:val="000000"/>
                <w:sz w:val="18"/>
                <w:szCs w:val="18"/>
              </w:rPr>
              <w:t xml:space="preserve">Gemini presented an unverified throughput figure (20% improvement from AI checkout) as fact. A human analyst is accountable for every claim in a research report. AI has no such accountability </w:t>
            </w:r>
            <w:r w:rsidR="00E41EF4" w:rsidRPr="00A34FA3">
              <w:rPr>
                <w:rFonts w:ascii="Calibri" w:hAnsi="Calibri" w:cs="Calibri"/>
                <w:color w:val="000000"/>
                <w:sz w:val="18"/>
                <w:szCs w:val="18"/>
              </w:rPr>
              <w:t>constraint</w:t>
            </w:r>
            <w:r w:rsidR="00E41EF4">
              <w:rPr>
                <w:rFonts w:ascii="Calibri" w:hAnsi="Calibri" w:cs="Calibri"/>
                <w:color w:val="000000"/>
                <w:sz w:val="18"/>
                <w:szCs w:val="18"/>
              </w:rPr>
              <w:t>;</w:t>
            </w:r>
            <w:r w:rsidR="00030F39">
              <w:rPr>
                <w:rFonts w:ascii="Calibri" w:hAnsi="Calibri" w:cs="Calibri"/>
                <w:color w:val="000000"/>
                <w:sz w:val="18"/>
                <w:szCs w:val="18"/>
              </w:rPr>
              <w:t xml:space="preserve"> </w:t>
            </w:r>
            <w:r w:rsidRPr="00A34FA3">
              <w:rPr>
                <w:rFonts w:ascii="Calibri" w:hAnsi="Calibri" w:cs="Calibri"/>
                <w:color w:val="000000"/>
                <w:sz w:val="18"/>
                <w:szCs w:val="18"/>
              </w:rPr>
              <w:t xml:space="preserve">it will produce plausible-sounding numbers </w:t>
            </w:r>
            <w:r w:rsidRPr="00A34FA3">
              <w:rPr>
                <w:rFonts w:ascii="Calibri" w:hAnsi="Calibri" w:cs="Calibri"/>
                <w:color w:val="000000"/>
                <w:sz w:val="18"/>
                <w:szCs w:val="18"/>
              </w:rPr>
              <w:lastRenderedPageBreak/>
              <w:t>without distinguishing verified data from generated approximations. This is the most significant risk of uncritical AI adoption in financial analysis.</w:t>
            </w:r>
          </w:p>
        </w:tc>
      </w:tr>
      <w:tr w:rsidR="00FA36BF" w:rsidRPr="00A34FA3" w14:paraId="0ACCE58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F03B91"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lastRenderedPageBreak/>
              <w:t>Future Integration Workflow</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2A09F5" w14:textId="27C6E744" w:rsidR="00FA36BF" w:rsidRPr="00A34FA3" w:rsidRDefault="00000000" w:rsidP="00E41EF4">
            <w:pPr>
              <w:rPr>
                <w:rFonts w:ascii="Calibri" w:hAnsi="Calibri" w:cs="Calibri"/>
              </w:rPr>
            </w:pPr>
            <w:r w:rsidRPr="00A34FA3">
              <w:rPr>
                <w:rFonts w:ascii="Calibri" w:hAnsi="Calibri" w:cs="Calibri"/>
                <w:color w:val="000000"/>
                <w:sz w:val="18"/>
                <w:szCs w:val="18"/>
              </w:rPr>
              <w:t>We would use AI in future workflows for: (1) first-pass competitive landscape and industry trend synthesis; (2) scenario generation and sensitivity framing; (3) earnings call summarization. We would not use AI for: primary data verification, balance sheet structure analysis, or final investment recommendation</w:t>
            </w:r>
            <w:r w:rsidR="00030F39">
              <w:rPr>
                <w:rFonts w:ascii="Calibri" w:hAnsi="Calibri" w:cs="Calibri"/>
                <w:color w:val="000000"/>
                <w:sz w:val="18"/>
                <w:szCs w:val="18"/>
              </w:rPr>
              <w:t xml:space="preserve">, </w:t>
            </w:r>
            <w:r w:rsidRPr="00A34FA3">
              <w:rPr>
                <w:rFonts w:ascii="Calibri" w:hAnsi="Calibri" w:cs="Calibri"/>
                <w:color w:val="000000"/>
                <w:sz w:val="18"/>
                <w:szCs w:val="18"/>
              </w:rPr>
              <w:t>all of which require contextual judgment, accounting literacy, and professional accountability that current AI models cannot provide.</w:t>
            </w:r>
          </w:p>
        </w:tc>
      </w:tr>
    </w:tbl>
    <w:p w14:paraId="718D561C" w14:textId="77777777" w:rsidR="00FA36BF" w:rsidRPr="00A34FA3" w:rsidRDefault="00FA36BF" w:rsidP="00E41EF4">
      <w:pPr>
        <w:spacing w:before="80"/>
        <w:rPr>
          <w:rFonts w:ascii="Calibri" w:hAnsi="Calibri" w:cs="Calibri"/>
        </w:rPr>
      </w:pPr>
    </w:p>
    <w:p w14:paraId="562D5E9D"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t>9. Investment Recommendation &amp; Conclusion</w:t>
      </w:r>
    </w:p>
    <w:p w14:paraId="2593A359" w14:textId="77777777" w:rsidR="00FA36BF" w:rsidRPr="00A34FA3" w:rsidRDefault="00000000" w:rsidP="004E3752">
      <w:pPr>
        <w:shd w:val="clear" w:color="auto" w:fill="003366"/>
        <w:spacing w:before="120" w:after="60"/>
        <w:jc w:val="center"/>
        <w:rPr>
          <w:rFonts w:ascii="Calibri" w:hAnsi="Calibri" w:cs="Calibri"/>
        </w:rPr>
      </w:pPr>
      <w:r w:rsidRPr="00A34FA3">
        <w:rPr>
          <w:rFonts w:ascii="Calibri" w:hAnsi="Calibri" w:cs="Calibri"/>
          <w:b/>
          <w:bCs/>
          <w:color w:val="FFFFFF"/>
          <w:sz w:val="24"/>
          <w:szCs w:val="24"/>
        </w:rPr>
        <w:t>INVESTMENT RATING: HOLD / ACCUMULATE ON WEAKNESS</w:t>
      </w:r>
    </w:p>
    <w:p w14:paraId="2BEE5FE8" w14:textId="2ED32430" w:rsidR="00FA36BF" w:rsidRPr="00A34FA3" w:rsidRDefault="00000000" w:rsidP="00E41EF4">
      <w:pPr>
        <w:spacing w:before="60" w:after="120"/>
        <w:rPr>
          <w:rFonts w:ascii="Calibri" w:hAnsi="Calibri" w:cs="Calibri"/>
        </w:rPr>
      </w:pPr>
      <w:r w:rsidRPr="00A34FA3">
        <w:rPr>
          <w:rFonts w:ascii="Calibri" w:hAnsi="Calibri" w:cs="Calibri"/>
          <w:b/>
          <w:bCs/>
          <w:color w:val="003366"/>
        </w:rPr>
        <w:t>Price Target</w:t>
      </w:r>
      <w:r w:rsidR="00030F39">
        <w:rPr>
          <w:rFonts w:ascii="Calibri" w:hAnsi="Calibri" w:cs="Calibri"/>
          <w:b/>
          <w:bCs/>
          <w:color w:val="003366"/>
        </w:rPr>
        <w:t xml:space="preserve">, </w:t>
      </w:r>
      <w:r w:rsidRPr="00A34FA3">
        <w:rPr>
          <w:rFonts w:ascii="Calibri" w:hAnsi="Calibri" w:cs="Calibri"/>
          <w:b/>
          <w:bCs/>
          <w:color w:val="003366"/>
        </w:rPr>
        <w:t>Base Case: $850–$</w:t>
      </w:r>
      <w:r w:rsidR="00E41EF4" w:rsidRPr="00A34FA3">
        <w:rPr>
          <w:rFonts w:ascii="Calibri" w:hAnsi="Calibri" w:cs="Calibri"/>
          <w:b/>
          <w:bCs/>
          <w:color w:val="003366"/>
        </w:rPr>
        <w:t>950 | Bear</w:t>
      </w:r>
      <w:r w:rsidRPr="00A34FA3">
        <w:rPr>
          <w:rFonts w:ascii="Calibri" w:hAnsi="Calibri" w:cs="Calibri"/>
          <w:b/>
          <w:bCs/>
          <w:color w:val="003366"/>
        </w:rPr>
        <w:t xml:space="preserve"> Case: $650–$</w:t>
      </w:r>
      <w:r w:rsidR="00E26248" w:rsidRPr="00A34FA3">
        <w:rPr>
          <w:rFonts w:ascii="Calibri" w:hAnsi="Calibri" w:cs="Calibri"/>
          <w:b/>
          <w:bCs/>
          <w:color w:val="003366"/>
        </w:rPr>
        <w:t xml:space="preserve">750 </w:t>
      </w:r>
      <w:proofErr w:type="gramStart"/>
      <w:r w:rsidR="00E26248" w:rsidRPr="00A34FA3">
        <w:rPr>
          <w:rFonts w:ascii="Calibri" w:hAnsi="Calibri" w:cs="Calibri"/>
          <w:b/>
          <w:bCs/>
          <w:color w:val="003366"/>
        </w:rPr>
        <w:t>|</w:t>
      </w:r>
      <w:r w:rsidRPr="00A34FA3">
        <w:rPr>
          <w:rFonts w:ascii="Calibri" w:hAnsi="Calibri" w:cs="Calibri"/>
          <w:b/>
          <w:bCs/>
          <w:color w:val="003366"/>
        </w:rPr>
        <w:t xml:space="preserve">  Bull</w:t>
      </w:r>
      <w:proofErr w:type="gramEnd"/>
      <w:r w:rsidRPr="00A34FA3">
        <w:rPr>
          <w:rFonts w:ascii="Calibri" w:hAnsi="Calibri" w:cs="Calibri"/>
          <w:b/>
          <w:bCs/>
          <w:color w:val="003366"/>
        </w:rPr>
        <w:t xml:space="preserve"> Case: $1,100–$1,200</w:t>
      </w:r>
    </w:p>
    <w:p w14:paraId="72E20133" w14:textId="19B5EE09" w:rsidR="00FA36BF" w:rsidRPr="00A34FA3" w:rsidRDefault="00000000" w:rsidP="00E41EF4">
      <w:pPr>
        <w:spacing w:before="40" w:after="60"/>
        <w:rPr>
          <w:rFonts w:ascii="Calibri" w:hAnsi="Calibri" w:cs="Calibri"/>
        </w:rPr>
      </w:pPr>
      <w:r w:rsidRPr="00A34FA3">
        <w:rPr>
          <w:rFonts w:ascii="Calibri" w:hAnsi="Calibri" w:cs="Calibri"/>
          <w:sz w:val="19"/>
          <w:szCs w:val="19"/>
        </w:rPr>
        <w:t>Costco Wholesale is one of the highest-quality retail businesses in the world. The membership flywheel, Kirkland Signature private label moat, disciplined low-SKU purchasing strategy, and 37.8% ROIC are not in question. What is in question is whether the current market price</w:t>
      </w:r>
      <w:r w:rsidR="00030F39">
        <w:rPr>
          <w:rFonts w:ascii="Calibri" w:hAnsi="Calibri" w:cs="Calibri"/>
          <w:sz w:val="19"/>
          <w:szCs w:val="19"/>
        </w:rPr>
        <w:t>,</w:t>
      </w:r>
      <w:r w:rsidRPr="00A34FA3">
        <w:rPr>
          <w:rFonts w:ascii="Calibri" w:hAnsi="Calibri" w:cs="Calibri"/>
          <w:sz w:val="19"/>
          <w:szCs w:val="19"/>
        </w:rPr>
        <w:t xml:space="preserve"> requiring bull-case FCF growth and WACC assumptions to justify </w:t>
      </w:r>
      <w:r w:rsidR="00030F39">
        <w:rPr>
          <w:rFonts w:ascii="Calibri" w:hAnsi="Calibri" w:cs="Calibri"/>
          <w:sz w:val="19"/>
          <w:szCs w:val="19"/>
        </w:rPr>
        <w:t>and</w:t>
      </w:r>
      <w:r w:rsidRPr="00A34FA3">
        <w:rPr>
          <w:rFonts w:ascii="Calibri" w:hAnsi="Calibri" w:cs="Calibri"/>
          <w:sz w:val="19"/>
          <w:szCs w:val="19"/>
        </w:rPr>
        <w:t xml:space="preserve"> reflects adequate margin of safety for new investors.</w:t>
      </w:r>
    </w:p>
    <w:p w14:paraId="6354EB06" w14:textId="156246E9" w:rsidR="00FA36BF" w:rsidRPr="00A34FA3" w:rsidRDefault="00000000" w:rsidP="00E41EF4">
      <w:pPr>
        <w:spacing w:before="40" w:after="60"/>
        <w:rPr>
          <w:rFonts w:ascii="Calibri" w:hAnsi="Calibri" w:cs="Calibri"/>
        </w:rPr>
      </w:pPr>
      <w:r w:rsidRPr="00A34FA3">
        <w:rPr>
          <w:rFonts w:ascii="Calibri" w:hAnsi="Calibri" w:cs="Calibri"/>
          <w:sz w:val="19"/>
          <w:szCs w:val="19"/>
        </w:rPr>
        <w:t xml:space="preserve">Our traditional analysis yields a base-case intrinsic value of $850–$950, approximately 3–13% below the current price of ~$983. Every valuation multiple </w:t>
      </w:r>
      <w:r w:rsidR="00030F39" w:rsidRPr="00A34FA3">
        <w:rPr>
          <w:rFonts w:ascii="Calibri" w:hAnsi="Calibri" w:cs="Calibri"/>
          <w:sz w:val="19"/>
          <w:szCs w:val="19"/>
        </w:rPr>
        <w:t>sit</w:t>
      </w:r>
      <w:r w:rsidRPr="00A34FA3">
        <w:rPr>
          <w:rFonts w:ascii="Calibri" w:hAnsi="Calibri" w:cs="Calibri"/>
          <w:sz w:val="19"/>
          <w:szCs w:val="19"/>
        </w:rPr>
        <w:t xml:space="preserve"> 31–88% above its 10-year historical average. The Monte Carlo simulation identifies a meaningful probability of overvaluation at current levels, with WACC shocks and tariff escalation as the primary tail risks. We therefore recommend: (</w:t>
      </w:r>
      <w:proofErr w:type="spellStart"/>
      <w:r w:rsidRPr="00A34FA3">
        <w:rPr>
          <w:rFonts w:ascii="Calibri" w:hAnsi="Calibri" w:cs="Calibri"/>
          <w:sz w:val="19"/>
          <w:szCs w:val="19"/>
        </w:rPr>
        <w:t>i</w:t>
      </w:r>
      <w:proofErr w:type="spellEnd"/>
      <w:r w:rsidRPr="00A34FA3">
        <w:rPr>
          <w:rFonts w:ascii="Calibri" w:hAnsi="Calibri" w:cs="Calibri"/>
          <w:sz w:val="19"/>
          <w:szCs w:val="19"/>
        </w:rPr>
        <w:t>) existing shareholders HOLD, capturing the special dividend cycle and ongoing earnings compounding; (ii) new investors ACCUMULATE ON WEAKNESS below $900, where the margin of safety becomes more defensible; and (iii) all investors monitor the membership renewal rate quarterly, as any sustained decline below 90% would represent a fundamental reassessment trigger.</w:t>
      </w:r>
    </w:p>
    <w:p w14:paraId="30EE0C90" w14:textId="35CC983F" w:rsidR="00E41EF4" w:rsidRDefault="00000000" w:rsidP="00E41EF4">
      <w:pPr>
        <w:spacing w:before="40" w:after="60"/>
        <w:rPr>
          <w:rFonts w:ascii="Calibri" w:hAnsi="Calibri" w:cs="Calibri"/>
        </w:rPr>
      </w:pPr>
      <w:r w:rsidRPr="00A34FA3">
        <w:rPr>
          <w:rFonts w:ascii="Calibri" w:hAnsi="Calibri" w:cs="Calibri"/>
          <w:sz w:val="19"/>
          <w:szCs w:val="19"/>
        </w:rPr>
        <w:t>AI contributed meaningfully to this analysis</w:t>
      </w:r>
      <w:r w:rsidR="00030F39">
        <w:rPr>
          <w:rFonts w:ascii="Calibri" w:hAnsi="Calibri" w:cs="Calibri"/>
          <w:sz w:val="19"/>
          <w:szCs w:val="19"/>
        </w:rPr>
        <w:t xml:space="preserve">, </w:t>
      </w:r>
      <w:r w:rsidRPr="00A34FA3">
        <w:rPr>
          <w:rFonts w:ascii="Calibri" w:hAnsi="Calibri" w:cs="Calibri"/>
          <w:sz w:val="19"/>
          <w:szCs w:val="19"/>
        </w:rPr>
        <w:t>particularly in risk enumeration, scenario framing, and simulation design</w:t>
      </w:r>
      <w:r w:rsidR="00030F39">
        <w:rPr>
          <w:rFonts w:ascii="Calibri" w:hAnsi="Calibri" w:cs="Calibri"/>
          <w:sz w:val="19"/>
          <w:szCs w:val="19"/>
        </w:rPr>
        <w:t xml:space="preserve">, </w:t>
      </w:r>
      <w:r w:rsidRPr="00A34FA3">
        <w:rPr>
          <w:rFonts w:ascii="Calibri" w:hAnsi="Calibri" w:cs="Calibri"/>
          <w:sz w:val="19"/>
          <w:szCs w:val="19"/>
        </w:rPr>
        <w:t>but required substantial human validation, correction, and supplementation. The final recommendation is grounded in SEC-verified financial data, independent DCF modeling, and professional judgment that AI tools cannot substitute for.</w:t>
      </w:r>
    </w:p>
    <w:p w14:paraId="2F4CF12A" w14:textId="73CB2339" w:rsidR="00FA36BF" w:rsidRPr="00A34FA3" w:rsidRDefault="00E41EF4" w:rsidP="00E41EF4">
      <w:pPr>
        <w:rPr>
          <w:rFonts w:ascii="Calibri" w:hAnsi="Calibri" w:cs="Calibri"/>
        </w:rPr>
      </w:pPr>
      <w:r>
        <w:rPr>
          <w:rFonts w:ascii="Calibri" w:hAnsi="Calibri" w:cs="Calibri"/>
        </w:rPr>
        <w:br w:type="page"/>
      </w:r>
    </w:p>
    <w:p w14:paraId="3764C98E" w14:textId="77777777" w:rsidR="00FA36BF" w:rsidRPr="00A34FA3" w:rsidRDefault="00000000" w:rsidP="00E41EF4">
      <w:pPr>
        <w:pBdr>
          <w:bottom w:val="single" w:sz="8" w:space="2" w:color="C8960C"/>
        </w:pBdr>
        <w:spacing w:before="120" w:after="120"/>
        <w:rPr>
          <w:rFonts w:ascii="Calibri" w:hAnsi="Calibri" w:cs="Calibri"/>
        </w:rPr>
      </w:pPr>
      <w:r w:rsidRPr="00A34FA3">
        <w:rPr>
          <w:rFonts w:ascii="Calibri" w:hAnsi="Calibri" w:cs="Calibri"/>
          <w:b/>
          <w:bCs/>
          <w:color w:val="003366"/>
          <w:sz w:val="28"/>
          <w:szCs w:val="28"/>
        </w:rPr>
        <w:lastRenderedPageBreak/>
        <w:t>EXHIBITS</w:t>
      </w:r>
    </w:p>
    <w:p w14:paraId="30950CE0" w14:textId="77777777" w:rsidR="00FA36BF" w:rsidRPr="00030F39" w:rsidRDefault="00000000" w:rsidP="00E41EF4">
      <w:pPr>
        <w:pStyle w:val="Heading1"/>
        <w:pBdr>
          <w:bottom w:val="single" w:sz="8" w:space="2" w:color="C8960C"/>
        </w:pBdr>
        <w:rPr>
          <w:rFonts w:ascii="Calibri" w:hAnsi="Calibri" w:cs="Calibri"/>
          <w:sz w:val="24"/>
          <w:szCs w:val="24"/>
        </w:rPr>
      </w:pPr>
      <w:r w:rsidRPr="00030F39">
        <w:rPr>
          <w:rFonts w:ascii="Calibri" w:hAnsi="Calibri" w:cs="Calibri"/>
          <w:sz w:val="24"/>
          <w:szCs w:val="24"/>
        </w:rPr>
        <w:t>Exhibit A: Monte Carlo Simulation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A36BF" w:rsidRPr="00A34FA3" w14:paraId="324C4E96" w14:textId="77777777">
        <w:tc>
          <w:tcPr>
            <w:tcW w:w="320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611BC15E"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Parameter</w:t>
            </w:r>
          </w:p>
        </w:tc>
        <w:tc>
          <w:tcPr>
            <w:tcW w:w="6160" w:type="dxa"/>
            <w:tcBorders>
              <w:top w:val="single" w:sz="4" w:space="0" w:color="CCCCCC"/>
              <w:left w:val="single" w:sz="4" w:space="0" w:color="CCCCCC"/>
              <w:bottom w:val="single" w:sz="4" w:space="0" w:color="CCCCCC"/>
              <w:right w:val="single" w:sz="4" w:space="0" w:color="CCCCCC"/>
            </w:tcBorders>
            <w:shd w:val="clear" w:color="auto" w:fill="003366"/>
            <w:tcMar>
              <w:top w:w="80" w:type="dxa"/>
              <w:left w:w="120" w:type="dxa"/>
              <w:bottom w:w="80" w:type="dxa"/>
              <w:right w:w="120" w:type="dxa"/>
            </w:tcMar>
            <w:vAlign w:val="center"/>
          </w:tcPr>
          <w:p w14:paraId="00D624BE" w14:textId="77777777" w:rsidR="00FA36BF" w:rsidRPr="00A34FA3" w:rsidRDefault="00000000" w:rsidP="00E41EF4">
            <w:pPr>
              <w:rPr>
                <w:rFonts w:ascii="Calibri" w:hAnsi="Calibri" w:cs="Calibri"/>
              </w:rPr>
            </w:pPr>
            <w:r w:rsidRPr="00A34FA3">
              <w:rPr>
                <w:rFonts w:ascii="Calibri" w:hAnsi="Calibri" w:cs="Calibri"/>
                <w:b/>
                <w:bCs/>
                <w:color w:val="FFFFFF"/>
                <w:sz w:val="18"/>
                <w:szCs w:val="18"/>
              </w:rPr>
              <w:t>Specification</w:t>
            </w:r>
          </w:p>
        </w:tc>
      </w:tr>
      <w:tr w:rsidR="00FA36BF" w:rsidRPr="00A34FA3" w14:paraId="7B52A05E"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6FA7DC"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Number of Iterations</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878052" w14:textId="77777777" w:rsidR="00FA36BF" w:rsidRPr="00A34FA3" w:rsidRDefault="00000000" w:rsidP="00E41EF4">
            <w:pPr>
              <w:rPr>
                <w:rFonts w:ascii="Calibri" w:hAnsi="Calibri" w:cs="Calibri"/>
              </w:rPr>
            </w:pPr>
            <w:r w:rsidRPr="00A34FA3">
              <w:rPr>
                <w:rFonts w:ascii="Calibri" w:hAnsi="Calibri" w:cs="Calibri"/>
                <w:color w:val="000000"/>
                <w:sz w:val="18"/>
                <w:szCs w:val="18"/>
              </w:rPr>
              <w:t>10,000</w:t>
            </w:r>
          </w:p>
        </w:tc>
      </w:tr>
      <w:tr w:rsidR="00FA36BF" w:rsidRPr="00A34FA3" w14:paraId="31B85FFB"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DF1EC0"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FCF Growth Rate</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AB751B" w14:textId="77777777" w:rsidR="00FA36BF" w:rsidRPr="00A34FA3" w:rsidRDefault="00000000" w:rsidP="00E41EF4">
            <w:pPr>
              <w:rPr>
                <w:rFonts w:ascii="Calibri" w:hAnsi="Calibri" w:cs="Calibri"/>
              </w:rPr>
            </w:pPr>
            <w:r w:rsidRPr="00A34FA3">
              <w:rPr>
                <w:rFonts w:ascii="Calibri" w:hAnsi="Calibri" w:cs="Calibri"/>
                <w:color w:val="000000"/>
                <w:sz w:val="18"/>
                <w:szCs w:val="18"/>
              </w:rPr>
              <w:t>μ = 10.0%, σ = 3.0% | Normal distribution | Range: ~1%–19%</w:t>
            </w:r>
          </w:p>
        </w:tc>
      </w:tr>
      <w:tr w:rsidR="00FA36BF" w:rsidRPr="00A34FA3" w14:paraId="1C430ACC"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46EB7D"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WACC (Discount Rate)</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C4E2F2" w14:textId="77777777" w:rsidR="00FA36BF" w:rsidRPr="00A34FA3" w:rsidRDefault="00000000" w:rsidP="00E41EF4">
            <w:pPr>
              <w:rPr>
                <w:rFonts w:ascii="Calibri" w:hAnsi="Calibri" w:cs="Calibri"/>
              </w:rPr>
            </w:pPr>
            <w:r w:rsidRPr="00A34FA3">
              <w:rPr>
                <w:rFonts w:ascii="Calibri" w:hAnsi="Calibri" w:cs="Calibri"/>
                <w:color w:val="000000"/>
                <w:sz w:val="18"/>
                <w:szCs w:val="18"/>
              </w:rPr>
              <w:t>μ = 9.0%, σ = 1.2% | Normal distribution | Range: ~5.4%–12.6%</w:t>
            </w:r>
          </w:p>
        </w:tc>
      </w:tr>
      <w:tr w:rsidR="00FA36BF" w:rsidRPr="00A34FA3" w14:paraId="2DFC5CE6"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020662"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Terminal Growth Rate</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BBAD84" w14:textId="77777777" w:rsidR="00FA36BF" w:rsidRPr="00A34FA3" w:rsidRDefault="00000000" w:rsidP="00E41EF4">
            <w:pPr>
              <w:rPr>
                <w:rFonts w:ascii="Calibri" w:hAnsi="Calibri" w:cs="Calibri"/>
              </w:rPr>
            </w:pPr>
            <w:r w:rsidRPr="00A34FA3">
              <w:rPr>
                <w:rFonts w:ascii="Calibri" w:hAnsi="Calibri" w:cs="Calibri"/>
                <w:color w:val="000000"/>
                <w:sz w:val="18"/>
                <w:szCs w:val="18"/>
              </w:rPr>
              <w:t>μ = 3.0%, σ = 0.5% | Constrained: always &lt; WACC</w:t>
            </w:r>
          </w:p>
        </w:tc>
      </w:tr>
      <w:tr w:rsidR="00FA36BF" w:rsidRPr="00A34FA3" w14:paraId="116A38AA"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84A305"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Explicit FCF Period</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6ECAE4" w14:textId="77777777" w:rsidR="00FA36BF" w:rsidRPr="00A34FA3" w:rsidRDefault="00000000" w:rsidP="00E41EF4">
            <w:pPr>
              <w:rPr>
                <w:rFonts w:ascii="Calibri" w:hAnsi="Calibri" w:cs="Calibri"/>
              </w:rPr>
            </w:pPr>
            <w:r w:rsidRPr="00A34FA3">
              <w:rPr>
                <w:rFonts w:ascii="Calibri" w:hAnsi="Calibri" w:cs="Calibri"/>
                <w:color w:val="000000"/>
                <w:sz w:val="18"/>
                <w:szCs w:val="18"/>
              </w:rPr>
              <w:t>5 years, followed by Gordon Growth terminal value</w:t>
            </w:r>
          </w:p>
        </w:tc>
      </w:tr>
      <w:tr w:rsidR="00FA36BF" w:rsidRPr="00A34FA3" w14:paraId="075F7872"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0C8F33"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Base FCF</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DE6F46" w14:textId="77777777" w:rsidR="00FA36BF" w:rsidRPr="00A34FA3" w:rsidRDefault="00000000" w:rsidP="00E41EF4">
            <w:pPr>
              <w:rPr>
                <w:rFonts w:ascii="Calibri" w:hAnsi="Calibri" w:cs="Calibri"/>
              </w:rPr>
            </w:pPr>
            <w:r w:rsidRPr="00A34FA3">
              <w:rPr>
                <w:rFonts w:ascii="Calibri" w:hAnsi="Calibri" w:cs="Calibri"/>
                <w:color w:val="000000"/>
                <w:sz w:val="18"/>
                <w:szCs w:val="18"/>
              </w:rPr>
              <w:t>$7.84B (FY2025 reported)</w:t>
            </w:r>
          </w:p>
        </w:tc>
      </w:tr>
      <w:tr w:rsidR="00FA36BF" w:rsidRPr="00A34FA3" w14:paraId="39B4201C"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9C60BD"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Shares Outstanding</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381CC3" w14:textId="77777777" w:rsidR="00FA36BF" w:rsidRPr="00A34FA3" w:rsidRDefault="00000000" w:rsidP="00E41EF4">
            <w:pPr>
              <w:rPr>
                <w:rFonts w:ascii="Calibri" w:hAnsi="Calibri" w:cs="Calibri"/>
              </w:rPr>
            </w:pPr>
            <w:r w:rsidRPr="00A34FA3">
              <w:rPr>
                <w:rFonts w:ascii="Calibri" w:hAnsi="Calibri" w:cs="Calibri"/>
                <w:color w:val="000000"/>
                <w:sz w:val="18"/>
                <w:szCs w:val="18"/>
              </w:rPr>
              <w:t>~444M</w:t>
            </w:r>
          </w:p>
        </w:tc>
      </w:tr>
      <w:tr w:rsidR="00FA36BF" w:rsidRPr="00A34FA3" w14:paraId="57749245"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409FA6"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Margin of Safety Applied</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39761A" w14:textId="77777777" w:rsidR="00FA36BF" w:rsidRPr="00A34FA3" w:rsidRDefault="00000000" w:rsidP="00E41EF4">
            <w:pPr>
              <w:rPr>
                <w:rFonts w:ascii="Calibri" w:hAnsi="Calibri" w:cs="Calibri"/>
              </w:rPr>
            </w:pPr>
            <w:r w:rsidRPr="00A34FA3">
              <w:rPr>
                <w:rFonts w:ascii="Calibri" w:hAnsi="Calibri" w:cs="Calibri"/>
                <w:color w:val="000000"/>
                <w:sz w:val="18"/>
                <w:szCs w:val="18"/>
              </w:rPr>
              <w:t>10% applied to all outputs</w:t>
            </w:r>
          </w:p>
        </w:tc>
      </w:tr>
      <w:tr w:rsidR="00FA36BF" w:rsidRPr="00A34FA3" w14:paraId="50AE4838"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1C3E34" w14:textId="77777777" w:rsidR="00FA36BF" w:rsidRPr="00A34FA3" w:rsidRDefault="00000000" w:rsidP="00E41EF4">
            <w:pPr>
              <w:rPr>
                <w:rFonts w:ascii="Calibri" w:hAnsi="Calibri" w:cs="Calibri"/>
              </w:rPr>
            </w:pPr>
            <w:r w:rsidRPr="00A34FA3">
              <w:rPr>
                <w:rFonts w:ascii="Calibri" w:hAnsi="Calibri" w:cs="Calibri"/>
                <w:b/>
                <w:bCs/>
                <w:color w:val="000000"/>
                <w:sz w:val="18"/>
                <w:szCs w:val="18"/>
              </w:rPr>
              <w:t>Variance Attribution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8B2244" w14:textId="77777777" w:rsidR="00FA36BF" w:rsidRPr="00A34FA3" w:rsidRDefault="00000000" w:rsidP="00E41EF4">
            <w:pPr>
              <w:rPr>
                <w:rFonts w:ascii="Calibri" w:hAnsi="Calibri" w:cs="Calibri"/>
              </w:rPr>
            </w:pPr>
            <w:r w:rsidRPr="00A34FA3">
              <w:rPr>
                <w:rFonts w:ascii="Calibri" w:hAnsi="Calibri" w:cs="Calibri"/>
                <w:color w:val="000000"/>
                <w:sz w:val="18"/>
                <w:szCs w:val="18"/>
              </w:rPr>
              <w:t>WACC: 66.7% | FCF growth: 24.0% | Terminal growth: 9.3%</w:t>
            </w:r>
          </w:p>
        </w:tc>
      </w:tr>
    </w:tbl>
    <w:p w14:paraId="49156B0E" w14:textId="77777777" w:rsidR="00FA36BF" w:rsidRPr="00A34FA3" w:rsidRDefault="00FA36BF" w:rsidP="00E41EF4">
      <w:pPr>
        <w:spacing w:before="120"/>
        <w:rPr>
          <w:rFonts w:ascii="Calibri" w:hAnsi="Calibri" w:cs="Calibri"/>
        </w:rPr>
      </w:pPr>
    </w:p>
    <w:p w14:paraId="55B8C257" w14:textId="77777777" w:rsidR="00FA36BF" w:rsidRPr="00A34FA3" w:rsidRDefault="00000000" w:rsidP="00E41EF4">
      <w:pPr>
        <w:pStyle w:val="Heading2"/>
        <w:rPr>
          <w:rFonts w:ascii="Calibri" w:hAnsi="Calibri" w:cs="Calibri"/>
        </w:rPr>
      </w:pPr>
      <w:r w:rsidRPr="00A34FA3">
        <w:rPr>
          <w:rFonts w:ascii="Calibri" w:hAnsi="Calibri" w:cs="Calibri"/>
        </w:rPr>
        <w:t>Exhibit B: Sources &amp; Data Provenance</w:t>
      </w:r>
    </w:p>
    <w:p w14:paraId="2C045DAC"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Costco Wholesale Corporation Form 10-K FY2025 (SEC EDGAR)</w:t>
      </w:r>
    </w:p>
    <w:p w14:paraId="3E8A4FB3" w14:textId="77777777"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Costco Q2 FY2025 Form 10-Q (February 2025, SEC EDGAR)</w:t>
      </w:r>
    </w:p>
    <w:p w14:paraId="5B20530D" w14:textId="116338DF"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Costco Investor Relations</w:t>
      </w:r>
      <w:r w:rsidR="00030F39">
        <w:rPr>
          <w:rFonts w:ascii="Calibri" w:hAnsi="Calibri" w:cs="Calibri"/>
          <w:sz w:val="19"/>
          <w:szCs w:val="19"/>
        </w:rPr>
        <w:t xml:space="preserve">, </w:t>
      </w:r>
      <w:r w:rsidRPr="00A34FA3">
        <w:rPr>
          <w:rFonts w:ascii="Calibri" w:hAnsi="Calibri" w:cs="Calibri"/>
          <w:sz w:val="19"/>
          <w:szCs w:val="19"/>
        </w:rPr>
        <w:t>IR.Costco.com</w:t>
      </w:r>
    </w:p>
    <w:p w14:paraId="021F0F70" w14:textId="0311E565"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Macrotrends.net</w:t>
      </w:r>
      <w:r w:rsidR="00030F39">
        <w:rPr>
          <w:rFonts w:ascii="Calibri" w:hAnsi="Calibri" w:cs="Calibri"/>
          <w:sz w:val="19"/>
          <w:szCs w:val="19"/>
        </w:rPr>
        <w:t xml:space="preserve">, </w:t>
      </w:r>
      <w:r w:rsidRPr="00A34FA3">
        <w:rPr>
          <w:rFonts w:ascii="Calibri" w:hAnsi="Calibri" w:cs="Calibri"/>
          <w:sz w:val="19"/>
          <w:szCs w:val="19"/>
        </w:rPr>
        <w:t>Historical financial data (FY2020–FY2025)</w:t>
      </w:r>
    </w:p>
    <w:p w14:paraId="7C9FFCDF" w14:textId="1192FCF8"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StockAnalysis.com</w:t>
      </w:r>
      <w:r w:rsidR="00030F39">
        <w:rPr>
          <w:rFonts w:ascii="Calibri" w:hAnsi="Calibri" w:cs="Calibri"/>
          <w:sz w:val="19"/>
          <w:szCs w:val="19"/>
        </w:rPr>
        <w:t xml:space="preserve">, </w:t>
      </w:r>
      <w:r w:rsidRPr="00A34FA3">
        <w:rPr>
          <w:rFonts w:ascii="Calibri" w:hAnsi="Calibri" w:cs="Calibri"/>
          <w:sz w:val="19"/>
          <w:szCs w:val="19"/>
        </w:rPr>
        <w:t>Normalized income statement and FCF data</w:t>
      </w:r>
    </w:p>
    <w:p w14:paraId="20B4F845" w14:textId="389E6AE9"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GuruFocus.com</w:t>
      </w:r>
      <w:r w:rsidR="00030F39">
        <w:rPr>
          <w:rFonts w:ascii="Calibri" w:hAnsi="Calibri" w:cs="Calibri"/>
          <w:sz w:val="19"/>
          <w:szCs w:val="19"/>
        </w:rPr>
        <w:t xml:space="preserve">, </w:t>
      </w:r>
      <w:r w:rsidRPr="00A34FA3">
        <w:rPr>
          <w:rFonts w:ascii="Calibri" w:hAnsi="Calibri" w:cs="Calibri"/>
          <w:sz w:val="19"/>
          <w:szCs w:val="19"/>
        </w:rPr>
        <w:t>Historical valuation multiples and ROIC</w:t>
      </w:r>
    </w:p>
    <w:p w14:paraId="59A51FD8" w14:textId="0D7D5F87" w:rsidR="00FA36BF" w:rsidRPr="00A34FA3" w:rsidRDefault="00000000" w:rsidP="00E41EF4">
      <w:pPr>
        <w:pStyle w:val="ListParagraph"/>
        <w:numPr>
          <w:ilvl w:val="0"/>
          <w:numId w:val="2"/>
        </w:numPr>
        <w:spacing w:before="30" w:after="30"/>
        <w:rPr>
          <w:rFonts w:ascii="Calibri" w:hAnsi="Calibri" w:cs="Calibri"/>
        </w:rPr>
      </w:pPr>
      <w:proofErr w:type="spellStart"/>
      <w:r w:rsidRPr="00A34FA3">
        <w:rPr>
          <w:rFonts w:ascii="Calibri" w:hAnsi="Calibri" w:cs="Calibri"/>
          <w:sz w:val="19"/>
          <w:szCs w:val="19"/>
        </w:rPr>
        <w:t>TipRanks</w:t>
      </w:r>
      <w:proofErr w:type="spellEnd"/>
      <w:r w:rsidRPr="00A34FA3">
        <w:rPr>
          <w:rFonts w:ascii="Calibri" w:hAnsi="Calibri" w:cs="Calibri"/>
          <w:sz w:val="19"/>
          <w:szCs w:val="19"/>
        </w:rPr>
        <w:t xml:space="preserve"> / Yahoo Finance</w:t>
      </w:r>
      <w:r w:rsidR="00030F39">
        <w:rPr>
          <w:rFonts w:ascii="Calibri" w:hAnsi="Calibri" w:cs="Calibri"/>
          <w:sz w:val="19"/>
          <w:szCs w:val="19"/>
        </w:rPr>
        <w:t xml:space="preserve">, </w:t>
      </w:r>
      <w:r w:rsidRPr="00A34FA3">
        <w:rPr>
          <w:rFonts w:ascii="Calibri" w:hAnsi="Calibri" w:cs="Calibri"/>
          <w:sz w:val="19"/>
          <w:szCs w:val="19"/>
        </w:rPr>
        <w:t>Analyst consensus price targets</w:t>
      </w:r>
    </w:p>
    <w:p w14:paraId="2EC384D3" w14:textId="641FC8E8"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Gemini (Google)</w:t>
      </w:r>
      <w:r w:rsidR="00030F39">
        <w:rPr>
          <w:rFonts w:ascii="Calibri" w:hAnsi="Calibri" w:cs="Calibri"/>
          <w:sz w:val="19"/>
          <w:szCs w:val="19"/>
        </w:rPr>
        <w:t xml:space="preserve">, </w:t>
      </w:r>
      <w:r w:rsidRPr="00A34FA3">
        <w:rPr>
          <w:rFonts w:ascii="Calibri" w:hAnsi="Calibri" w:cs="Calibri"/>
          <w:sz w:val="19"/>
          <w:szCs w:val="19"/>
        </w:rPr>
        <w:t>AI-generated equity research narrative (for critical evaluation)</w:t>
      </w:r>
    </w:p>
    <w:p w14:paraId="1DCB66F3" w14:textId="5887C3C5" w:rsidR="00FA36BF" w:rsidRPr="00A34FA3" w:rsidRDefault="00000000" w:rsidP="00E41EF4">
      <w:pPr>
        <w:pStyle w:val="ListParagraph"/>
        <w:numPr>
          <w:ilvl w:val="0"/>
          <w:numId w:val="2"/>
        </w:numPr>
        <w:spacing w:before="30" w:after="30"/>
        <w:rPr>
          <w:rFonts w:ascii="Calibri" w:hAnsi="Calibri" w:cs="Calibri"/>
        </w:rPr>
      </w:pPr>
      <w:r w:rsidRPr="00A34FA3">
        <w:rPr>
          <w:rFonts w:ascii="Calibri" w:hAnsi="Calibri" w:cs="Calibri"/>
          <w:sz w:val="19"/>
          <w:szCs w:val="19"/>
        </w:rPr>
        <w:t>Custom Monte Carlo DCF Model</w:t>
      </w:r>
      <w:r w:rsidR="00030F39">
        <w:rPr>
          <w:rFonts w:ascii="Calibri" w:hAnsi="Calibri" w:cs="Calibri"/>
          <w:sz w:val="19"/>
          <w:szCs w:val="19"/>
        </w:rPr>
        <w:t xml:space="preserve">, </w:t>
      </w:r>
      <w:r w:rsidRPr="00A34FA3">
        <w:rPr>
          <w:rFonts w:ascii="Calibri" w:hAnsi="Calibri" w:cs="Calibri"/>
          <w:sz w:val="19"/>
          <w:szCs w:val="19"/>
        </w:rPr>
        <w:t>Proprietary simulation (10,000 iterations)</w:t>
      </w:r>
    </w:p>
    <w:p w14:paraId="1F393905" w14:textId="77777777" w:rsidR="00FA36BF" w:rsidRPr="00A34FA3" w:rsidRDefault="00FA36BF" w:rsidP="00E41EF4">
      <w:pPr>
        <w:spacing w:before="60"/>
        <w:rPr>
          <w:rFonts w:ascii="Calibri" w:hAnsi="Calibri" w:cs="Calibri"/>
        </w:rPr>
      </w:pPr>
    </w:p>
    <w:p w14:paraId="714D25E4" w14:textId="77777777" w:rsidR="00FA36BF" w:rsidRPr="00A34FA3" w:rsidRDefault="00000000" w:rsidP="00E41EF4">
      <w:pPr>
        <w:spacing w:before="40" w:after="60"/>
        <w:rPr>
          <w:rFonts w:ascii="Calibri" w:hAnsi="Calibri" w:cs="Calibri"/>
        </w:rPr>
      </w:pPr>
      <w:r w:rsidRPr="00A34FA3">
        <w:rPr>
          <w:rFonts w:ascii="Calibri" w:hAnsi="Calibri" w:cs="Calibri"/>
          <w:i/>
          <w:iCs/>
          <w:sz w:val="19"/>
          <w:szCs w:val="19"/>
        </w:rPr>
        <w:t>All financial figures are based on publicly available SEC filings. All valuation analyses are for academic and educational purposes only and do not constitute investment advice.</w:t>
      </w:r>
    </w:p>
    <w:sectPr w:rsidR="00FA36BF" w:rsidRPr="00A34F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F9E8" w14:textId="77777777" w:rsidR="00434B72" w:rsidRDefault="00434B72">
      <w:r>
        <w:separator/>
      </w:r>
    </w:p>
  </w:endnote>
  <w:endnote w:type="continuationSeparator" w:id="0">
    <w:p w14:paraId="6AF7E296" w14:textId="77777777" w:rsidR="00434B72" w:rsidRDefault="00434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C3E8" w14:textId="6CD6D564" w:rsidR="00FA36BF" w:rsidRDefault="00000000" w:rsidP="00030F39">
    <w:pPr>
      <w:pBdr>
        <w:top w:val="single" w:sz="4" w:space="1" w:color="C8960C"/>
      </w:pBdr>
    </w:pPr>
    <w:r>
      <w:rPr>
        <w:color w:val="888888"/>
        <w:sz w:val="16"/>
        <w:szCs w:val="16"/>
      </w:rPr>
      <w:t xml:space="preserve">Sobey School of Business, Saint Mary's University </w:t>
    </w:r>
    <w:r w:rsidR="00030F39">
      <w:rPr>
        <w:color w:val="888888"/>
        <w:sz w:val="16"/>
        <w:szCs w:val="16"/>
      </w:rPr>
      <w:tab/>
    </w:r>
    <w:r w:rsidR="00030F39">
      <w:rPr>
        <w:color w:val="888888"/>
        <w:sz w:val="16"/>
        <w:szCs w:val="16"/>
      </w:rPr>
      <w:tab/>
    </w:r>
    <w:r w:rsidR="00030F39">
      <w:rPr>
        <w:color w:val="888888"/>
        <w:sz w:val="16"/>
        <w:szCs w:val="16"/>
      </w:rPr>
      <w:tab/>
    </w:r>
    <w:r w:rsidR="00030F39">
      <w:rPr>
        <w:color w:val="888888"/>
        <w:sz w:val="16"/>
        <w:szCs w:val="16"/>
      </w:rPr>
      <w:tab/>
    </w:r>
    <w:r w:rsidR="00030F39">
      <w:rPr>
        <w:color w:val="888888"/>
        <w:sz w:val="16"/>
        <w:szCs w:val="16"/>
      </w:rPr>
      <w:tab/>
    </w:r>
    <w:r w:rsidR="00030F39">
      <w:rPr>
        <w:color w:val="888888"/>
        <w:sz w:val="16"/>
        <w:szCs w:val="16"/>
      </w:rPr>
      <w:tab/>
    </w:r>
    <w:r w:rsidR="00030F39">
      <w:rPr>
        <w:color w:val="888888"/>
        <w:sz w:val="16"/>
        <w:szCs w:val="16"/>
      </w:rPr>
      <w:tab/>
    </w:r>
    <w:r w:rsidR="00030F39">
      <w:rPr>
        <w:color w:val="888888"/>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34FA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FDF5" w14:textId="77777777" w:rsidR="00434B72" w:rsidRDefault="00434B72">
      <w:r>
        <w:separator/>
      </w:r>
    </w:p>
  </w:footnote>
  <w:footnote w:type="continuationSeparator" w:id="0">
    <w:p w14:paraId="05B78FD2" w14:textId="77777777" w:rsidR="00434B72" w:rsidRDefault="00434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E780" w14:textId="7E01A20E" w:rsidR="00FA36BF" w:rsidRDefault="00000000" w:rsidP="00030F39">
    <w:pPr>
      <w:pBdr>
        <w:bottom w:val="single" w:sz="4" w:space="1" w:color="C8960C"/>
      </w:pBdr>
    </w:pPr>
    <w:r>
      <w:rPr>
        <w:color w:val="888888"/>
        <w:sz w:val="16"/>
        <w:szCs w:val="16"/>
      </w:rPr>
      <w:t xml:space="preserve">COSTCO WHOLESALE CORP (COST) — EQUITY </w:t>
    </w:r>
    <w:r w:rsidR="00030F39">
      <w:rPr>
        <w:color w:val="888888"/>
        <w:sz w:val="16"/>
        <w:szCs w:val="16"/>
      </w:rPr>
      <w:t>RESEARCH |</w:t>
    </w:r>
    <w:r>
      <w:rPr>
        <w:color w:val="888888"/>
        <w:sz w:val="16"/>
        <w:szCs w:val="16"/>
      </w:rPr>
      <w:t xml:space="preserve"> MBAN5570</w:t>
    </w:r>
    <w:r w:rsidR="00030F39">
      <w:rPr>
        <w:color w:val="888888"/>
        <w:sz w:val="16"/>
        <w:szCs w:val="16"/>
      </w:rPr>
      <w:t xml:space="preserve"> ACCOUNTING AND FINANCIAL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F646E"/>
    <w:multiLevelType w:val="hybridMultilevel"/>
    <w:tmpl w:val="597453E4"/>
    <w:lvl w:ilvl="0" w:tplc="A56CB412">
      <w:start w:val="1"/>
      <w:numFmt w:val="bullet"/>
      <w:lvlText w:val="●"/>
      <w:lvlJc w:val="left"/>
      <w:pPr>
        <w:ind w:left="720" w:hanging="360"/>
      </w:pPr>
    </w:lvl>
    <w:lvl w:ilvl="1" w:tplc="A2B45ACE">
      <w:start w:val="1"/>
      <w:numFmt w:val="bullet"/>
      <w:lvlText w:val="○"/>
      <w:lvlJc w:val="left"/>
      <w:pPr>
        <w:ind w:left="1440" w:hanging="360"/>
      </w:pPr>
    </w:lvl>
    <w:lvl w:ilvl="2" w:tplc="24789074">
      <w:start w:val="1"/>
      <w:numFmt w:val="bullet"/>
      <w:lvlText w:val="■"/>
      <w:lvlJc w:val="left"/>
      <w:pPr>
        <w:ind w:left="2160" w:hanging="360"/>
      </w:pPr>
    </w:lvl>
    <w:lvl w:ilvl="3" w:tplc="39F4D02A">
      <w:start w:val="1"/>
      <w:numFmt w:val="bullet"/>
      <w:lvlText w:val="●"/>
      <w:lvlJc w:val="left"/>
      <w:pPr>
        <w:ind w:left="2880" w:hanging="360"/>
      </w:pPr>
    </w:lvl>
    <w:lvl w:ilvl="4" w:tplc="6046D54A">
      <w:start w:val="1"/>
      <w:numFmt w:val="bullet"/>
      <w:lvlText w:val="○"/>
      <w:lvlJc w:val="left"/>
      <w:pPr>
        <w:ind w:left="3600" w:hanging="360"/>
      </w:pPr>
    </w:lvl>
    <w:lvl w:ilvl="5" w:tplc="02BEAC86">
      <w:start w:val="1"/>
      <w:numFmt w:val="bullet"/>
      <w:lvlText w:val="■"/>
      <w:lvlJc w:val="left"/>
      <w:pPr>
        <w:ind w:left="4320" w:hanging="360"/>
      </w:pPr>
    </w:lvl>
    <w:lvl w:ilvl="6" w:tplc="021EA7E0">
      <w:start w:val="1"/>
      <w:numFmt w:val="bullet"/>
      <w:lvlText w:val="●"/>
      <w:lvlJc w:val="left"/>
      <w:pPr>
        <w:ind w:left="5040" w:hanging="360"/>
      </w:pPr>
    </w:lvl>
    <w:lvl w:ilvl="7" w:tplc="CE0C4FE8">
      <w:start w:val="1"/>
      <w:numFmt w:val="bullet"/>
      <w:lvlText w:val="●"/>
      <w:lvlJc w:val="left"/>
      <w:pPr>
        <w:ind w:left="5760" w:hanging="360"/>
      </w:pPr>
    </w:lvl>
    <w:lvl w:ilvl="8" w:tplc="D040A714">
      <w:start w:val="1"/>
      <w:numFmt w:val="bullet"/>
      <w:lvlText w:val="●"/>
      <w:lvlJc w:val="left"/>
      <w:pPr>
        <w:ind w:left="6480" w:hanging="360"/>
      </w:pPr>
    </w:lvl>
  </w:abstractNum>
  <w:abstractNum w:abstractNumId="1" w15:restartNumberingAfterBreak="0">
    <w:nsid w:val="4D2F41D6"/>
    <w:multiLevelType w:val="hybridMultilevel"/>
    <w:tmpl w:val="CA9EA9A6"/>
    <w:lvl w:ilvl="0" w:tplc="B106A2A4">
      <w:start w:val="1"/>
      <w:numFmt w:val="bullet"/>
      <w:lvlText w:val="•"/>
      <w:lvlJc w:val="left"/>
      <w:pPr>
        <w:ind w:left="560" w:hanging="280"/>
      </w:pPr>
    </w:lvl>
    <w:lvl w:ilvl="1" w:tplc="E252126A">
      <w:numFmt w:val="decimal"/>
      <w:lvlText w:val=""/>
      <w:lvlJc w:val="left"/>
    </w:lvl>
    <w:lvl w:ilvl="2" w:tplc="D242AFBA">
      <w:numFmt w:val="decimal"/>
      <w:lvlText w:val=""/>
      <w:lvlJc w:val="left"/>
    </w:lvl>
    <w:lvl w:ilvl="3" w:tplc="20C8DFE2">
      <w:numFmt w:val="decimal"/>
      <w:lvlText w:val=""/>
      <w:lvlJc w:val="left"/>
    </w:lvl>
    <w:lvl w:ilvl="4" w:tplc="65E0DEFC">
      <w:numFmt w:val="decimal"/>
      <w:lvlText w:val=""/>
      <w:lvlJc w:val="left"/>
    </w:lvl>
    <w:lvl w:ilvl="5" w:tplc="155A8800">
      <w:numFmt w:val="decimal"/>
      <w:lvlText w:val=""/>
      <w:lvlJc w:val="left"/>
    </w:lvl>
    <w:lvl w:ilvl="6" w:tplc="D53AA9C0">
      <w:numFmt w:val="decimal"/>
      <w:lvlText w:val=""/>
      <w:lvlJc w:val="left"/>
    </w:lvl>
    <w:lvl w:ilvl="7" w:tplc="CDC46CC2">
      <w:numFmt w:val="decimal"/>
      <w:lvlText w:val=""/>
      <w:lvlJc w:val="left"/>
    </w:lvl>
    <w:lvl w:ilvl="8" w:tplc="BF0E2654">
      <w:numFmt w:val="decimal"/>
      <w:lvlText w:val=""/>
      <w:lvlJc w:val="left"/>
    </w:lvl>
  </w:abstractNum>
  <w:num w:numId="1" w16cid:durableId="2068647829">
    <w:abstractNumId w:val="0"/>
    <w:lvlOverride w:ilvl="0">
      <w:startOverride w:val="1"/>
    </w:lvlOverride>
  </w:num>
  <w:num w:numId="2" w16cid:durableId="468325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6BF"/>
    <w:rsid w:val="00030F39"/>
    <w:rsid w:val="0026309C"/>
    <w:rsid w:val="002B1C0B"/>
    <w:rsid w:val="00434B72"/>
    <w:rsid w:val="004E3752"/>
    <w:rsid w:val="006C35C6"/>
    <w:rsid w:val="009824DD"/>
    <w:rsid w:val="00A34FA3"/>
    <w:rsid w:val="00D71472"/>
    <w:rsid w:val="00E26248"/>
    <w:rsid w:val="00E41EF4"/>
    <w:rsid w:val="00FA3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2CDF"/>
  <w15:docId w15:val="{F9B7B319-12D8-4956-905B-07B5AFCF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3366"/>
      <w:sz w:val="28"/>
      <w:szCs w:val="28"/>
    </w:rPr>
  </w:style>
  <w:style w:type="paragraph" w:styleId="Heading2">
    <w:name w:val="heading 2"/>
    <w:uiPriority w:val="9"/>
    <w:unhideWhenUsed/>
    <w:qFormat/>
    <w:pPr>
      <w:spacing w:before="160" w:after="80"/>
      <w:outlineLvl w:val="1"/>
    </w:pPr>
    <w:rPr>
      <w:b/>
      <w:bCs/>
      <w:color w:val="1F4E7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0F39"/>
    <w:pPr>
      <w:tabs>
        <w:tab w:val="center" w:pos="4680"/>
        <w:tab w:val="right" w:pos="9360"/>
      </w:tabs>
    </w:pPr>
  </w:style>
  <w:style w:type="character" w:customStyle="1" w:styleId="HeaderChar">
    <w:name w:val="Header Char"/>
    <w:basedOn w:val="DefaultParagraphFont"/>
    <w:link w:val="Header"/>
    <w:uiPriority w:val="99"/>
    <w:rsid w:val="00030F39"/>
  </w:style>
  <w:style w:type="paragraph" w:styleId="Footer">
    <w:name w:val="footer"/>
    <w:basedOn w:val="Normal"/>
    <w:link w:val="FooterChar"/>
    <w:uiPriority w:val="99"/>
    <w:unhideWhenUsed/>
    <w:rsid w:val="00030F39"/>
    <w:pPr>
      <w:tabs>
        <w:tab w:val="center" w:pos="4680"/>
        <w:tab w:val="right" w:pos="9360"/>
      </w:tabs>
    </w:pPr>
  </w:style>
  <w:style w:type="character" w:customStyle="1" w:styleId="FooterChar">
    <w:name w:val="Footer Char"/>
    <w:basedOn w:val="DefaultParagraphFont"/>
    <w:link w:val="Footer"/>
    <w:uiPriority w:val="99"/>
    <w:rsid w:val="00030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3448</Words>
  <Characters>19656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Pamela Ballesteros</cp:lastModifiedBy>
  <cp:revision>4</cp:revision>
  <dcterms:created xsi:type="dcterms:W3CDTF">2026-04-10T14:48:00Z</dcterms:created>
  <dcterms:modified xsi:type="dcterms:W3CDTF">2026-04-10T18:51:00Z</dcterms:modified>
</cp:coreProperties>
</file>