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A8332" w14:textId="408C8FBD" w:rsidR="006B43CA" w:rsidRPr="006B43CA" w:rsidRDefault="006B43CA" w:rsidP="006B4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Gemini </w:t>
      </w:r>
      <w:r w:rsidRPr="006B43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Equity Research Report: Costco Wholesale Corp (COST)</w:t>
      </w:r>
    </w:p>
    <w:p w14:paraId="36806852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Executive Summary &amp; Financial Performance</w:t>
      </w:r>
    </w:p>
    <w:p w14:paraId="772EE75B" w14:textId="77777777" w:rsidR="006B43CA" w:rsidRPr="006B43CA" w:rsidRDefault="006B43CA" w:rsidP="006B4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Costco has demonstrated exceptional resilience and growth between 2022 and 2026, transitioning from the post-pandemic supply chain crisis to a period of stable, high-margin expansion. The company’s core membership model remains the industry gold standard, consistently driving high renewal rates (&gt;90%) and providing a predictable floor for earnings.</w:t>
      </w:r>
    </w:p>
    <w:p w14:paraId="5D6E7888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sz w:val="27"/>
          <w:szCs w:val="27"/>
          <w:lang/>
          <w14:ligatures w14:val="none"/>
        </w:rPr>
        <w:t>Key Financial Trends (2022–2026)</w:t>
      </w:r>
    </w:p>
    <w:p w14:paraId="7212D797" w14:textId="77777777" w:rsidR="006B43CA" w:rsidRPr="006B43CA" w:rsidRDefault="006B43CA" w:rsidP="006B43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Revenue Growth: Trailing Twelve Month (TTM) revenue as of early 2026 reached $286.27 billion, representing an 8.4% year-over-year increase.</w:t>
      </w:r>
    </w:p>
    <w:p w14:paraId="57E5A20E" w14:textId="77777777" w:rsidR="006B43CA" w:rsidRPr="006B43CA" w:rsidRDefault="006B43CA" w:rsidP="006B43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Earnings Momentum: Net income grew from $5.84B in 2022 to an estimated $8.55B for fiscal year 2026, maintaining a steady 7–9% CAGR.</w:t>
      </w:r>
    </w:p>
    <w:p w14:paraId="15CBBF98" w14:textId="19F9EAA8" w:rsidR="006B43CA" w:rsidRPr="006B43CA" w:rsidRDefault="006B43CA" w:rsidP="006B43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Membership Fees: Revenue from fees increased to $5.4B (annualized), acting as the primary driver for operating profit while allowing retail margins to stay at a competitive ~11%.</w:t>
      </w:r>
    </w:p>
    <w:p w14:paraId="4481E989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Industry Trends &amp; Risk Assessment</w:t>
      </w:r>
    </w:p>
    <w:p w14:paraId="46E8F2E7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sz w:val="27"/>
          <w:szCs w:val="27"/>
          <w:lang/>
          <w14:ligatures w14:val="none"/>
        </w:rPr>
        <w:t>Industry Trends</w:t>
      </w:r>
    </w:p>
    <w:p w14:paraId="71BB625B" w14:textId="77777777" w:rsidR="006B43CA" w:rsidRPr="006B43CA" w:rsidRDefault="006B43CA" w:rsidP="006B43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E-commerce &amp; Digitization: Costco has successfully bridged the gap between bulk physical shopping and digital convenience. Online sales grew ~22% in the last year, supported by "Big &amp; Bulky" delivery improvements.</w:t>
      </w:r>
    </w:p>
    <w:p w14:paraId="3CB9201D" w14:textId="77777777" w:rsidR="006B43CA" w:rsidRPr="006B43CA" w:rsidRDefault="006B43CA" w:rsidP="006B43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Efficiency Automation: Implementation of AI-driven pre-scanning and checkout technology in 2025/2026 has increased warehouse throughput by nearly 20%, offsetting rising labor costs.</w:t>
      </w:r>
    </w:p>
    <w:p w14:paraId="2511D779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sz w:val="27"/>
          <w:szCs w:val="27"/>
          <w:lang/>
          <w14:ligatures w14:val="none"/>
        </w:rPr>
        <w:t>Key Risks</w:t>
      </w:r>
    </w:p>
    <w:p w14:paraId="3883F5C1" w14:textId="77777777" w:rsidR="006B43CA" w:rsidRPr="006B43CA" w:rsidRDefault="006B43CA" w:rsidP="006B43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Valuation Risk: Trading at a P/E ratio of ~52x, Costco is significantly more expensive than peers like Walmart (~28x). Any slight earnings miss could trigger a sharp valuation contraction.</w:t>
      </w:r>
    </w:p>
    <w:p w14:paraId="3977BAD1" w14:textId="77777777" w:rsidR="006B43CA" w:rsidRPr="006B43CA" w:rsidRDefault="006B43CA" w:rsidP="006B43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Geopolitical Supply Chain: With 30 new global openings planned annually, exposure to Asian supply chain volatility remains a core risk factor.</w:t>
      </w:r>
    </w:p>
    <w:p w14:paraId="4E3EE42A" w14:textId="61B49594" w:rsidR="006B43CA" w:rsidRPr="006B43CA" w:rsidRDefault="006B43CA" w:rsidP="006B43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Tariff Uncertainty: Ongoing trade investigations in 2026 continue to create price-point volatility for imported non-food categories.</w:t>
      </w:r>
    </w:p>
    <w:p w14:paraId="5DC3FD84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Valuation &amp; Sensitivity Analysis</w:t>
      </w:r>
    </w:p>
    <w:p w14:paraId="42E19E20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DCF Assumptions &amp; Model</w:t>
      </w:r>
    </w:p>
    <w:p w14:paraId="647BFE0D" w14:textId="77777777" w:rsidR="006B43CA" w:rsidRPr="006B43CA" w:rsidRDefault="006B43CA" w:rsidP="006B4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We utilized a 5-year Free Cash Flow (FCF) projection with the following parameters:</w:t>
      </w:r>
    </w:p>
    <w:p w14:paraId="03CE1D0E" w14:textId="77777777" w:rsidR="006B43CA" w:rsidRPr="006B43CA" w:rsidRDefault="006B43CA" w:rsidP="006B43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Terminal Growth Rate: 3.5% (reflecting dominant market position and inflation hedging).</w:t>
      </w:r>
    </w:p>
    <w:p w14:paraId="153D5DE2" w14:textId="77777777" w:rsidR="006B43CA" w:rsidRPr="006B43CA" w:rsidRDefault="006B43CA" w:rsidP="006B43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WACC: 7.8% (low cost of debt and high equity beta).</w:t>
      </w:r>
    </w:p>
    <w:p w14:paraId="6E4758A0" w14:textId="77777777" w:rsidR="006B43CA" w:rsidRPr="006B43CA" w:rsidRDefault="006B43CA" w:rsidP="006B43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Intrinsic Value: Calculated at $846.25 per share.</w:t>
      </w:r>
    </w:p>
    <w:p w14:paraId="421FF4CD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Monte Carlo Simulation (10,000 Iterations)</w:t>
      </w:r>
    </w:p>
    <w:p w14:paraId="7E917B37" w14:textId="5D94D546" w:rsidR="006B43CA" w:rsidRPr="006B43CA" w:rsidRDefault="006B43CA" w:rsidP="006B4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Our simulation varying revenue growth (5-9%) and WACC (7-9%) suggests a 70% probability that the fair value lies between $920 and $1,100. This confirms that while the stock is currently "rich," it is supported by high-quality cash flow.</w:t>
      </w:r>
    </w:p>
    <w:p w14:paraId="2E30EDEF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Analytical Narratives &amp; Patterns</w:t>
      </w:r>
    </w:p>
    <w:p w14:paraId="2624B488" w14:textId="77777777" w:rsidR="006B43CA" w:rsidRPr="006B43CA" w:rsidRDefault="006B43CA" w:rsidP="006B4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Costco's historical data reveals a "decoupling" effect where membership growth remains independent of macro-economic downturns. In fact, during the 2023-2024 inflationary period, membership sign-ups accelerated as consumers sought unit-price value.</w:t>
      </w:r>
    </w:p>
    <w:p w14:paraId="376D2170" w14:textId="6263CB2C" w:rsidR="006B43CA" w:rsidRPr="006B43CA" w:rsidRDefault="006B43CA" w:rsidP="006B43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Pattern Extraction: Analysis shows that for every 1% increase in Kirkland Signature private label penetration, gross margins improve by approximately 15-20 basis points due to vertical integration.</w:t>
      </w:r>
    </w:p>
    <w:p w14:paraId="70A894F6" w14:textId="77777777" w:rsidR="006B43CA" w:rsidRPr="006B43CA" w:rsidRDefault="006B43CA" w:rsidP="006B4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5. Strategic Recommendations</w:t>
      </w:r>
    </w:p>
    <w:p w14:paraId="0E6781F4" w14:textId="77777777" w:rsidR="006B43CA" w:rsidRPr="006B43CA" w:rsidRDefault="006B43CA" w:rsidP="006B43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For Institutional Portfolios: HOLD. Maintain current weighting. Costco serves as a defensive anchor with low volatility.</w:t>
      </w:r>
    </w:p>
    <w:p w14:paraId="33F1265D" w14:textId="77777777" w:rsidR="006B43CA" w:rsidRPr="006B43CA" w:rsidRDefault="006B43CA" w:rsidP="006B43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For Growth Investors: ACCUMULATE ON DIPS. Specifically, any pullback toward the $950 support level (200-day moving average) represents a strong entry point.</w:t>
      </w:r>
    </w:p>
    <w:p w14:paraId="45598484" w14:textId="77777777" w:rsidR="006B43CA" w:rsidRPr="006B43CA" w:rsidRDefault="006B43CA" w:rsidP="006B43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B43CA">
        <w:rPr>
          <w:rFonts w:ascii="Times New Roman" w:eastAsia="Times New Roman" w:hAnsi="Times New Roman" w:cs="Times New Roman"/>
          <w:kern w:val="0"/>
          <w:lang/>
          <w14:ligatures w14:val="none"/>
        </w:rPr>
        <w:t>Capital Allocation: Anticipate a Special Dividend of $12.00-$15.00 in late 2026 or 2027, given the current cash reserve of $17.38 billion.</w:t>
      </w:r>
    </w:p>
    <w:p w14:paraId="07CA37D7" w14:textId="77777777" w:rsidR="006B43CA" w:rsidRDefault="006B43CA"/>
    <w:sectPr w:rsidR="006B43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7A8"/>
    <w:multiLevelType w:val="multilevel"/>
    <w:tmpl w:val="820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76D0"/>
    <w:multiLevelType w:val="multilevel"/>
    <w:tmpl w:val="A37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09C4"/>
    <w:multiLevelType w:val="multilevel"/>
    <w:tmpl w:val="8BA8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646FE"/>
    <w:multiLevelType w:val="multilevel"/>
    <w:tmpl w:val="6172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87D00"/>
    <w:multiLevelType w:val="multilevel"/>
    <w:tmpl w:val="7CDA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06EC3"/>
    <w:multiLevelType w:val="multilevel"/>
    <w:tmpl w:val="F37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16DDF"/>
    <w:multiLevelType w:val="multilevel"/>
    <w:tmpl w:val="C05C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544C1"/>
    <w:multiLevelType w:val="multilevel"/>
    <w:tmpl w:val="DCD8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1605E"/>
    <w:multiLevelType w:val="multilevel"/>
    <w:tmpl w:val="6402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B4461"/>
    <w:multiLevelType w:val="multilevel"/>
    <w:tmpl w:val="E15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504FF"/>
    <w:multiLevelType w:val="multilevel"/>
    <w:tmpl w:val="CEF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41B60"/>
    <w:multiLevelType w:val="multilevel"/>
    <w:tmpl w:val="DB1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55036">
    <w:abstractNumId w:val="9"/>
  </w:num>
  <w:num w:numId="2" w16cid:durableId="1894346033">
    <w:abstractNumId w:val="1"/>
  </w:num>
  <w:num w:numId="3" w16cid:durableId="11343962">
    <w:abstractNumId w:val="7"/>
  </w:num>
  <w:num w:numId="4" w16cid:durableId="451633511">
    <w:abstractNumId w:val="8"/>
  </w:num>
  <w:num w:numId="5" w16cid:durableId="1830366541">
    <w:abstractNumId w:val="11"/>
  </w:num>
  <w:num w:numId="6" w16cid:durableId="294990536">
    <w:abstractNumId w:val="3"/>
  </w:num>
  <w:num w:numId="7" w16cid:durableId="129060356">
    <w:abstractNumId w:val="10"/>
  </w:num>
  <w:num w:numId="8" w16cid:durableId="1318730005">
    <w:abstractNumId w:val="5"/>
  </w:num>
  <w:num w:numId="9" w16cid:durableId="1684698856">
    <w:abstractNumId w:val="2"/>
  </w:num>
  <w:num w:numId="10" w16cid:durableId="471145064">
    <w:abstractNumId w:val="0"/>
  </w:num>
  <w:num w:numId="11" w16cid:durableId="439027812">
    <w:abstractNumId w:val="6"/>
  </w:num>
  <w:num w:numId="12" w16cid:durableId="681782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CA"/>
    <w:rsid w:val="0040788C"/>
    <w:rsid w:val="006B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9DEE1"/>
  <w15:chartTrackingRefBased/>
  <w15:docId w15:val="{EDA632D1-4F70-4EB6-9FE9-3062B620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0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Amoakohene</dc:creator>
  <cp:keywords/>
  <dc:description/>
  <cp:lastModifiedBy>Irene Amoakohene</cp:lastModifiedBy>
  <cp:revision>1</cp:revision>
  <dcterms:created xsi:type="dcterms:W3CDTF">2026-04-10T13:44:00Z</dcterms:created>
  <dcterms:modified xsi:type="dcterms:W3CDTF">2026-04-10T13:50:00Z</dcterms:modified>
</cp:coreProperties>
</file>