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54D3A" w14:textId="50A8F1C1" w:rsidR="0030666C" w:rsidRPr="00A70B09" w:rsidRDefault="00A70B09" w:rsidP="00A70B09">
      <w:pPr>
        <w:spacing w:after="0"/>
        <w:contextualSpacing/>
        <w:rPr>
          <w:rFonts w:ascii="Calibri" w:hAnsi="Calibri" w:cs="Calibri"/>
          <w:sz w:val="22"/>
          <w:szCs w:val="22"/>
        </w:rPr>
      </w:pPr>
      <w:r w:rsidRPr="00A70B09">
        <w:rPr>
          <w:rFonts w:ascii="Calibri" w:hAnsi="Calibri" w:cs="Calibri"/>
          <w:sz w:val="22"/>
          <w:szCs w:val="22"/>
        </w:rPr>
        <w:t>Pamela Ballesteros</w:t>
      </w:r>
      <w:r w:rsidRPr="00A70B09">
        <w:rPr>
          <w:rFonts w:ascii="Calibri" w:hAnsi="Calibri" w:cs="Calibri"/>
          <w:sz w:val="22"/>
          <w:szCs w:val="22"/>
        </w:rPr>
        <w:br/>
        <w:t>MBAN 5570 – Accounting and Financial Analytics</w:t>
      </w:r>
    </w:p>
    <w:p w14:paraId="364F823C" w14:textId="5CA1B717" w:rsidR="00A70B09" w:rsidRPr="00A70B09" w:rsidRDefault="00A70B09" w:rsidP="00A70B09">
      <w:pPr>
        <w:spacing w:after="0"/>
        <w:contextualSpacing/>
        <w:rPr>
          <w:rFonts w:ascii="Calibri" w:hAnsi="Calibri" w:cs="Calibri"/>
          <w:sz w:val="22"/>
          <w:szCs w:val="22"/>
        </w:rPr>
      </w:pPr>
      <w:r w:rsidRPr="00A70B09">
        <w:rPr>
          <w:rFonts w:ascii="Calibri" w:hAnsi="Calibri" w:cs="Calibri"/>
          <w:sz w:val="22"/>
          <w:szCs w:val="22"/>
        </w:rPr>
        <w:t>Assignment II</w:t>
      </w:r>
    </w:p>
    <w:p w14:paraId="03B1D6F6" w14:textId="77777777" w:rsidR="00A70B09" w:rsidRDefault="00A70B09" w:rsidP="00A70B09">
      <w:pPr>
        <w:spacing w:after="0"/>
        <w:contextualSpacing/>
        <w:rPr>
          <w:rFonts w:ascii="Calibri" w:hAnsi="Calibri" w:cs="Calibri"/>
          <w:sz w:val="22"/>
          <w:szCs w:val="22"/>
        </w:rPr>
      </w:pPr>
    </w:p>
    <w:p w14:paraId="16CA45D6" w14:textId="190CA3F3" w:rsidR="00181C07" w:rsidRPr="00A70B09" w:rsidRDefault="00B050BC" w:rsidP="00B050BC">
      <w:pPr>
        <w:spacing w:after="0"/>
        <w:contextualSpacing/>
        <w:jc w:val="center"/>
        <w:rPr>
          <w:rFonts w:ascii="Calibri" w:hAnsi="Calibri" w:cs="Calibri"/>
          <w:sz w:val="22"/>
          <w:szCs w:val="22"/>
        </w:rPr>
      </w:pPr>
      <w:r>
        <w:rPr>
          <w:rFonts w:ascii="Calibri" w:hAnsi="Calibri" w:cs="Calibri"/>
          <w:sz w:val="22"/>
          <w:szCs w:val="22"/>
        </w:rPr>
        <w:t>Key Financial Ratios (2020 -2025) of Maple Leaf LLC.</w:t>
      </w:r>
      <w:r>
        <w:rPr>
          <w:rFonts w:ascii="Calibri" w:hAnsi="Calibri" w:cs="Calibri"/>
          <w:sz w:val="22"/>
          <w:szCs w:val="22"/>
        </w:rPr>
        <w:br/>
      </w:r>
    </w:p>
    <w:tbl>
      <w:tblPr>
        <w:tblW w:w="10012" w:type="dxa"/>
        <w:tblLook w:val="04A0" w:firstRow="1" w:lastRow="0" w:firstColumn="1" w:lastColumn="0" w:noHBand="0" w:noVBand="1"/>
      </w:tblPr>
      <w:tblGrid>
        <w:gridCol w:w="663"/>
        <w:gridCol w:w="875"/>
        <w:gridCol w:w="1134"/>
        <w:gridCol w:w="867"/>
        <w:gridCol w:w="912"/>
        <w:gridCol w:w="737"/>
        <w:gridCol w:w="899"/>
        <w:gridCol w:w="1044"/>
        <w:gridCol w:w="830"/>
        <w:gridCol w:w="1103"/>
        <w:gridCol w:w="1051"/>
      </w:tblGrid>
      <w:tr w:rsidR="00A70B09" w:rsidRPr="00A70B09" w14:paraId="6ABD1DFB" w14:textId="77777777" w:rsidTr="00317CD4">
        <w:trPr>
          <w:trHeight w:val="223"/>
        </w:trPr>
        <w:tc>
          <w:tcPr>
            <w:tcW w:w="663" w:type="dxa"/>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2661C86D"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Year</w:t>
            </w:r>
          </w:p>
        </w:tc>
        <w:tc>
          <w:tcPr>
            <w:tcW w:w="875" w:type="dxa"/>
            <w:tcBorders>
              <w:top w:val="single" w:sz="4" w:space="0" w:color="auto"/>
              <w:left w:val="nil"/>
              <w:bottom w:val="single" w:sz="4" w:space="0" w:color="auto"/>
              <w:right w:val="single" w:sz="4" w:space="0" w:color="auto"/>
            </w:tcBorders>
            <w:shd w:val="clear" w:color="000000" w:fill="CAEDFB"/>
            <w:noWrap/>
            <w:vAlign w:val="bottom"/>
            <w:hideMark/>
          </w:tcPr>
          <w:p w14:paraId="1052CDC6"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Gross Margin</w:t>
            </w:r>
          </w:p>
        </w:tc>
        <w:tc>
          <w:tcPr>
            <w:tcW w:w="1134" w:type="dxa"/>
            <w:tcBorders>
              <w:top w:val="single" w:sz="4" w:space="0" w:color="auto"/>
              <w:left w:val="nil"/>
              <w:bottom w:val="single" w:sz="4" w:space="0" w:color="auto"/>
              <w:right w:val="single" w:sz="4" w:space="0" w:color="auto"/>
            </w:tcBorders>
            <w:shd w:val="clear" w:color="000000" w:fill="CAEDFB"/>
            <w:noWrap/>
            <w:vAlign w:val="bottom"/>
            <w:hideMark/>
          </w:tcPr>
          <w:p w14:paraId="53ACE60B"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Operating margin %</w:t>
            </w:r>
          </w:p>
        </w:tc>
        <w:tc>
          <w:tcPr>
            <w:tcW w:w="867" w:type="dxa"/>
            <w:tcBorders>
              <w:top w:val="single" w:sz="4" w:space="0" w:color="auto"/>
              <w:left w:val="nil"/>
              <w:bottom w:val="single" w:sz="4" w:space="0" w:color="auto"/>
              <w:right w:val="single" w:sz="4" w:space="0" w:color="auto"/>
            </w:tcBorders>
            <w:shd w:val="clear" w:color="000000" w:fill="CAEDFB"/>
            <w:noWrap/>
            <w:vAlign w:val="bottom"/>
            <w:hideMark/>
          </w:tcPr>
          <w:p w14:paraId="2B0207EB"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ROA %</w:t>
            </w:r>
          </w:p>
        </w:tc>
        <w:tc>
          <w:tcPr>
            <w:tcW w:w="809" w:type="dxa"/>
            <w:tcBorders>
              <w:top w:val="single" w:sz="4" w:space="0" w:color="auto"/>
              <w:left w:val="nil"/>
              <w:bottom w:val="single" w:sz="4" w:space="0" w:color="auto"/>
              <w:right w:val="single" w:sz="4" w:space="0" w:color="auto"/>
            </w:tcBorders>
            <w:shd w:val="clear" w:color="000000" w:fill="CAEDFB"/>
            <w:noWrap/>
            <w:vAlign w:val="bottom"/>
            <w:hideMark/>
          </w:tcPr>
          <w:p w14:paraId="07F686A2"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Current ratio</w:t>
            </w:r>
          </w:p>
        </w:tc>
        <w:tc>
          <w:tcPr>
            <w:tcW w:w="737" w:type="dxa"/>
            <w:tcBorders>
              <w:top w:val="single" w:sz="4" w:space="0" w:color="auto"/>
              <w:left w:val="nil"/>
              <w:bottom w:val="single" w:sz="4" w:space="0" w:color="auto"/>
              <w:right w:val="single" w:sz="4" w:space="0" w:color="auto"/>
            </w:tcBorders>
            <w:shd w:val="clear" w:color="000000" w:fill="CAEDFB"/>
            <w:noWrap/>
            <w:vAlign w:val="bottom"/>
            <w:hideMark/>
          </w:tcPr>
          <w:p w14:paraId="1797BA8A"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Quick ratio</w:t>
            </w:r>
          </w:p>
        </w:tc>
        <w:tc>
          <w:tcPr>
            <w:tcW w:w="899" w:type="dxa"/>
            <w:tcBorders>
              <w:top w:val="single" w:sz="4" w:space="0" w:color="auto"/>
              <w:left w:val="nil"/>
              <w:bottom w:val="single" w:sz="4" w:space="0" w:color="auto"/>
              <w:right w:val="single" w:sz="4" w:space="0" w:color="auto"/>
            </w:tcBorders>
            <w:shd w:val="clear" w:color="000000" w:fill="CAEDFB"/>
            <w:noWrap/>
            <w:vAlign w:val="bottom"/>
            <w:hideMark/>
          </w:tcPr>
          <w:p w14:paraId="32DBF0C3"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Debt-to-equity</w:t>
            </w:r>
          </w:p>
        </w:tc>
        <w:tc>
          <w:tcPr>
            <w:tcW w:w="1044" w:type="dxa"/>
            <w:tcBorders>
              <w:top w:val="single" w:sz="4" w:space="0" w:color="auto"/>
              <w:left w:val="nil"/>
              <w:bottom w:val="single" w:sz="4" w:space="0" w:color="auto"/>
              <w:right w:val="single" w:sz="4" w:space="0" w:color="auto"/>
            </w:tcBorders>
            <w:shd w:val="clear" w:color="000000" w:fill="CAEDFB"/>
            <w:noWrap/>
            <w:vAlign w:val="bottom"/>
            <w:hideMark/>
          </w:tcPr>
          <w:p w14:paraId="3AB03E42"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Interest coverage (x)</w:t>
            </w:r>
          </w:p>
        </w:tc>
        <w:tc>
          <w:tcPr>
            <w:tcW w:w="830" w:type="dxa"/>
            <w:tcBorders>
              <w:top w:val="single" w:sz="4" w:space="0" w:color="auto"/>
              <w:left w:val="nil"/>
              <w:bottom w:val="single" w:sz="4" w:space="0" w:color="auto"/>
              <w:right w:val="single" w:sz="4" w:space="0" w:color="auto"/>
            </w:tcBorders>
            <w:shd w:val="clear" w:color="000000" w:fill="CAEDFB"/>
            <w:noWrap/>
            <w:vAlign w:val="bottom"/>
            <w:hideMark/>
          </w:tcPr>
          <w:p w14:paraId="16514684"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DSO (days)</w:t>
            </w:r>
          </w:p>
        </w:tc>
        <w:tc>
          <w:tcPr>
            <w:tcW w:w="1103" w:type="dxa"/>
            <w:tcBorders>
              <w:top w:val="single" w:sz="4" w:space="0" w:color="auto"/>
              <w:left w:val="nil"/>
              <w:bottom w:val="single" w:sz="4" w:space="0" w:color="auto"/>
              <w:right w:val="single" w:sz="4" w:space="0" w:color="auto"/>
            </w:tcBorders>
            <w:shd w:val="clear" w:color="000000" w:fill="CAEDFB"/>
            <w:noWrap/>
            <w:vAlign w:val="bottom"/>
            <w:hideMark/>
          </w:tcPr>
          <w:p w14:paraId="470AF5F1"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Inventory days</w:t>
            </w:r>
          </w:p>
        </w:tc>
        <w:tc>
          <w:tcPr>
            <w:tcW w:w="1051" w:type="dxa"/>
            <w:tcBorders>
              <w:top w:val="single" w:sz="4" w:space="0" w:color="auto"/>
              <w:left w:val="nil"/>
              <w:bottom w:val="single" w:sz="4" w:space="0" w:color="auto"/>
              <w:right w:val="single" w:sz="4" w:space="0" w:color="auto"/>
            </w:tcBorders>
            <w:shd w:val="clear" w:color="000000" w:fill="CAEDFB"/>
            <w:noWrap/>
            <w:vAlign w:val="bottom"/>
            <w:hideMark/>
          </w:tcPr>
          <w:p w14:paraId="0A89FD0A" w14:textId="77777777" w:rsidR="00A70B09" w:rsidRPr="00A70B09" w:rsidRDefault="00A70B09" w:rsidP="00A70B09">
            <w:pPr>
              <w:spacing w:after="0" w:line="240" w:lineRule="auto"/>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Asset Turnover</w:t>
            </w:r>
          </w:p>
        </w:tc>
      </w:tr>
      <w:tr w:rsidR="00A70B09" w:rsidRPr="00A70B09" w14:paraId="1E693652"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74340C9C"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2020</w:t>
            </w:r>
          </w:p>
        </w:tc>
        <w:tc>
          <w:tcPr>
            <w:tcW w:w="875" w:type="dxa"/>
            <w:tcBorders>
              <w:top w:val="nil"/>
              <w:left w:val="nil"/>
              <w:bottom w:val="single" w:sz="4" w:space="0" w:color="auto"/>
              <w:right w:val="single" w:sz="4" w:space="0" w:color="auto"/>
            </w:tcBorders>
            <w:noWrap/>
            <w:vAlign w:val="bottom"/>
            <w:hideMark/>
          </w:tcPr>
          <w:p w14:paraId="0BD4A22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30.95%</w:t>
            </w:r>
          </w:p>
        </w:tc>
        <w:tc>
          <w:tcPr>
            <w:tcW w:w="1134" w:type="dxa"/>
            <w:tcBorders>
              <w:top w:val="nil"/>
              <w:left w:val="nil"/>
              <w:bottom w:val="single" w:sz="4" w:space="0" w:color="auto"/>
              <w:right w:val="single" w:sz="4" w:space="0" w:color="auto"/>
            </w:tcBorders>
            <w:noWrap/>
            <w:vAlign w:val="bottom"/>
            <w:hideMark/>
          </w:tcPr>
          <w:p w14:paraId="775C7D5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w:t>
            </w:r>
          </w:p>
        </w:tc>
        <w:tc>
          <w:tcPr>
            <w:tcW w:w="867" w:type="dxa"/>
            <w:tcBorders>
              <w:top w:val="nil"/>
              <w:left w:val="nil"/>
              <w:bottom w:val="single" w:sz="4" w:space="0" w:color="auto"/>
              <w:right w:val="single" w:sz="4" w:space="0" w:color="auto"/>
            </w:tcBorders>
            <w:noWrap/>
            <w:vAlign w:val="bottom"/>
            <w:hideMark/>
          </w:tcPr>
          <w:p w14:paraId="32424D86"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7.11%</w:t>
            </w:r>
          </w:p>
        </w:tc>
        <w:tc>
          <w:tcPr>
            <w:tcW w:w="809" w:type="dxa"/>
            <w:tcBorders>
              <w:top w:val="nil"/>
              <w:left w:val="nil"/>
              <w:bottom w:val="single" w:sz="4" w:space="0" w:color="auto"/>
              <w:right w:val="single" w:sz="4" w:space="0" w:color="auto"/>
            </w:tcBorders>
            <w:noWrap/>
            <w:vAlign w:val="bottom"/>
            <w:hideMark/>
          </w:tcPr>
          <w:p w14:paraId="34A4E785"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1.89</w:t>
            </w:r>
          </w:p>
        </w:tc>
        <w:tc>
          <w:tcPr>
            <w:tcW w:w="737" w:type="dxa"/>
            <w:tcBorders>
              <w:top w:val="nil"/>
              <w:left w:val="nil"/>
              <w:bottom w:val="single" w:sz="4" w:space="0" w:color="auto"/>
              <w:right w:val="single" w:sz="4" w:space="0" w:color="auto"/>
            </w:tcBorders>
            <w:noWrap/>
            <w:vAlign w:val="bottom"/>
            <w:hideMark/>
          </w:tcPr>
          <w:p w14:paraId="3552AAF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1.11</w:t>
            </w:r>
          </w:p>
        </w:tc>
        <w:tc>
          <w:tcPr>
            <w:tcW w:w="899" w:type="dxa"/>
            <w:tcBorders>
              <w:top w:val="nil"/>
              <w:left w:val="nil"/>
              <w:bottom w:val="single" w:sz="4" w:space="0" w:color="auto"/>
              <w:right w:val="single" w:sz="4" w:space="0" w:color="auto"/>
            </w:tcBorders>
            <w:noWrap/>
            <w:vAlign w:val="bottom"/>
            <w:hideMark/>
          </w:tcPr>
          <w:p w14:paraId="3F76854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0.58</w:t>
            </w:r>
          </w:p>
        </w:tc>
        <w:tc>
          <w:tcPr>
            <w:tcW w:w="1044" w:type="dxa"/>
            <w:tcBorders>
              <w:top w:val="nil"/>
              <w:left w:val="nil"/>
              <w:bottom w:val="single" w:sz="4" w:space="0" w:color="auto"/>
              <w:right w:val="single" w:sz="4" w:space="0" w:color="auto"/>
            </w:tcBorders>
            <w:noWrap/>
            <w:vAlign w:val="bottom"/>
            <w:hideMark/>
          </w:tcPr>
          <w:p w14:paraId="40E4A933"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5.25</w:t>
            </w:r>
          </w:p>
        </w:tc>
        <w:tc>
          <w:tcPr>
            <w:tcW w:w="830" w:type="dxa"/>
            <w:tcBorders>
              <w:top w:val="nil"/>
              <w:left w:val="nil"/>
              <w:bottom w:val="single" w:sz="4" w:space="0" w:color="auto"/>
              <w:right w:val="single" w:sz="4" w:space="0" w:color="auto"/>
            </w:tcBorders>
            <w:noWrap/>
            <w:vAlign w:val="bottom"/>
            <w:hideMark/>
          </w:tcPr>
          <w:p w14:paraId="1F3BD548"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47.80</w:t>
            </w:r>
          </w:p>
        </w:tc>
        <w:tc>
          <w:tcPr>
            <w:tcW w:w="1103" w:type="dxa"/>
            <w:tcBorders>
              <w:top w:val="nil"/>
              <w:left w:val="nil"/>
              <w:bottom w:val="single" w:sz="4" w:space="0" w:color="auto"/>
              <w:right w:val="single" w:sz="4" w:space="0" w:color="auto"/>
            </w:tcBorders>
            <w:noWrap/>
            <w:vAlign w:val="bottom"/>
            <w:hideMark/>
          </w:tcPr>
          <w:p w14:paraId="5571F722"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75.52</w:t>
            </w:r>
          </w:p>
        </w:tc>
        <w:tc>
          <w:tcPr>
            <w:tcW w:w="1051" w:type="dxa"/>
            <w:tcBorders>
              <w:top w:val="nil"/>
              <w:left w:val="nil"/>
              <w:bottom w:val="single" w:sz="4" w:space="0" w:color="auto"/>
              <w:right w:val="single" w:sz="4" w:space="0" w:color="auto"/>
            </w:tcBorders>
            <w:noWrap/>
            <w:vAlign w:val="bottom"/>
            <w:hideMark/>
          </w:tcPr>
          <w:p w14:paraId="1022B43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1.11</w:t>
            </w:r>
          </w:p>
        </w:tc>
      </w:tr>
      <w:tr w:rsidR="00A70B09" w:rsidRPr="00A70B09" w14:paraId="2D7B687D"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45559712"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2021</w:t>
            </w:r>
          </w:p>
        </w:tc>
        <w:tc>
          <w:tcPr>
            <w:tcW w:w="875" w:type="dxa"/>
            <w:tcBorders>
              <w:top w:val="nil"/>
              <w:left w:val="nil"/>
              <w:bottom w:val="single" w:sz="4" w:space="0" w:color="auto"/>
              <w:right w:val="single" w:sz="4" w:space="0" w:color="auto"/>
            </w:tcBorders>
            <w:noWrap/>
            <w:vAlign w:val="bottom"/>
            <w:hideMark/>
          </w:tcPr>
          <w:p w14:paraId="7F91589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29.67%</w:t>
            </w:r>
          </w:p>
        </w:tc>
        <w:tc>
          <w:tcPr>
            <w:tcW w:w="1134" w:type="dxa"/>
            <w:tcBorders>
              <w:top w:val="nil"/>
              <w:left w:val="nil"/>
              <w:bottom w:val="single" w:sz="4" w:space="0" w:color="auto"/>
              <w:right w:val="single" w:sz="4" w:space="0" w:color="auto"/>
            </w:tcBorders>
            <w:noWrap/>
            <w:vAlign w:val="bottom"/>
            <w:hideMark/>
          </w:tcPr>
          <w:p w14:paraId="06017F6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9%</w:t>
            </w:r>
          </w:p>
        </w:tc>
        <w:tc>
          <w:tcPr>
            <w:tcW w:w="867" w:type="dxa"/>
            <w:tcBorders>
              <w:top w:val="nil"/>
              <w:left w:val="nil"/>
              <w:bottom w:val="single" w:sz="4" w:space="0" w:color="auto"/>
              <w:right w:val="single" w:sz="4" w:space="0" w:color="auto"/>
            </w:tcBorders>
            <w:noWrap/>
            <w:vAlign w:val="bottom"/>
            <w:hideMark/>
          </w:tcPr>
          <w:p w14:paraId="0280D8A7"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6.03%</w:t>
            </w:r>
          </w:p>
        </w:tc>
        <w:tc>
          <w:tcPr>
            <w:tcW w:w="809" w:type="dxa"/>
            <w:tcBorders>
              <w:top w:val="nil"/>
              <w:left w:val="nil"/>
              <w:bottom w:val="single" w:sz="4" w:space="0" w:color="auto"/>
              <w:right w:val="single" w:sz="4" w:space="0" w:color="auto"/>
            </w:tcBorders>
            <w:noWrap/>
            <w:vAlign w:val="bottom"/>
            <w:hideMark/>
          </w:tcPr>
          <w:p w14:paraId="2404306C"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1.83</w:t>
            </w:r>
          </w:p>
        </w:tc>
        <w:tc>
          <w:tcPr>
            <w:tcW w:w="737" w:type="dxa"/>
            <w:tcBorders>
              <w:top w:val="nil"/>
              <w:left w:val="nil"/>
              <w:bottom w:val="single" w:sz="4" w:space="0" w:color="auto"/>
              <w:right w:val="single" w:sz="4" w:space="0" w:color="auto"/>
            </w:tcBorders>
            <w:noWrap/>
            <w:vAlign w:val="bottom"/>
            <w:hideMark/>
          </w:tcPr>
          <w:p w14:paraId="4FC26A17"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0.98</w:t>
            </w:r>
          </w:p>
        </w:tc>
        <w:tc>
          <w:tcPr>
            <w:tcW w:w="899" w:type="dxa"/>
            <w:tcBorders>
              <w:top w:val="nil"/>
              <w:left w:val="nil"/>
              <w:bottom w:val="single" w:sz="4" w:space="0" w:color="auto"/>
              <w:right w:val="single" w:sz="4" w:space="0" w:color="auto"/>
            </w:tcBorders>
            <w:noWrap/>
            <w:vAlign w:val="bottom"/>
            <w:hideMark/>
          </w:tcPr>
          <w:p w14:paraId="706CD07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0.74</w:t>
            </w:r>
          </w:p>
        </w:tc>
        <w:tc>
          <w:tcPr>
            <w:tcW w:w="1044" w:type="dxa"/>
            <w:tcBorders>
              <w:top w:val="nil"/>
              <w:left w:val="nil"/>
              <w:bottom w:val="single" w:sz="4" w:space="0" w:color="auto"/>
              <w:right w:val="single" w:sz="4" w:space="0" w:color="auto"/>
            </w:tcBorders>
            <w:noWrap/>
            <w:vAlign w:val="bottom"/>
            <w:hideMark/>
          </w:tcPr>
          <w:p w14:paraId="198561F5"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4.10</w:t>
            </w:r>
          </w:p>
        </w:tc>
        <w:tc>
          <w:tcPr>
            <w:tcW w:w="830" w:type="dxa"/>
            <w:tcBorders>
              <w:top w:val="nil"/>
              <w:left w:val="nil"/>
              <w:bottom w:val="single" w:sz="4" w:space="0" w:color="auto"/>
              <w:right w:val="single" w:sz="4" w:space="0" w:color="auto"/>
            </w:tcBorders>
            <w:noWrap/>
            <w:vAlign w:val="bottom"/>
            <w:hideMark/>
          </w:tcPr>
          <w:p w14:paraId="2D0BC4DA"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64.18</w:t>
            </w:r>
          </w:p>
        </w:tc>
        <w:tc>
          <w:tcPr>
            <w:tcW w:w="1103" w:type="dxa"/>
            <w:tcBorders>
              <w:top w:val="nil"/>
              <w:left w:val="nil"/>
              <w:bottom w:val="single" w:sz="4" w:space="0" w:color="auto"/>
              <w:right w:val="single" w:sz="4" w:space="0" w:color="auto"/>
            </w:tcBorders>
            <w:noWrap/>
            <w:vAlign w:val="bottom"/>
            <w:hideMark/>
          </w:tcPr>
          <w:p w14:paraId="378BB8A9"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96.95</w:t>
            </w:r>
          </w:p>
        </w:tc>
        <w:tc>
          <w:tcPr>
            <w:tcW w:w="1051" w:type="dxa"/>
            <w:tcBorders>
              <w:top w:val="nil"/>
              <w:left w:val="nil"/>
              <w:bottom w:val="single" w:sz="4" w:space="0" w:color="auto"/>
              <w:right w:val="single" w:sz="4" w:space="0" w:color="auto"/>
            </w:tcBorders>
            <w:noWrap/>
            <w:vAlign w:val="bottom"/>
            <w:hideMark/>
          </w:tcPr>
          <w:p w14:paraId="06380098"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1.06</w:t>
            </w:r>
          </w:p>
        </w:tc>
      </w:tr>
      <w:tr w:rsidR="00A70B09" w:rsidRPr="00A70B09" w14:paraId="07817972"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72644FC2"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2022</w:t>
            </w:r>
          </w:p>
        </w:tc>
        <w:tc>
          <w:tcPr>
            <w:tcW w:w="875" w:type="dxa"/>
            <w:tcBorders>
              <w:top w:val="nil"/>
              <w:left w:val="nil"/>
              <w:bottom w:val="single" w:sz="4" w:space="0" w:color="auto"/>
              <w:right w:val="single" w:sz="4" w:space="0" w:color="auto"/>
            </w:tcBorders>
            <w:noWrap/>
            <w:vAlign w:val="bottom"/>
            <w:hideMark/>
          </w:tcPr>
          <w:p w14:paraId="0D54C93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28.00%</w:t>
            </w:r>
          </w:p>
        </w:tc>
        <w:tc>
          <w:tcPr>
            <w:tcW w:w="1134" w:type="dxa"/>
            <w:tcBorders>
              <w:top w:val="nil"/>
              <w:left w:val="nil"/>
              <w:bottom w:val="single" w:sz="4" w:space="0" w:color="auto"/>
              <w:right w:val="single" w:sz="4" w:space="0" w:color="auto"/>
            </w:tcBorders>
            <w:noWrap/>
            <w:vAlign w:val="bottom"/>
            <w:hideMark/>
          </w:tcPr>
          <w:p w14:paraId="08B78FF5"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8%</w:t>
            </w:r>
          </w:p>
        </w:tc>
        <w:tc>
          <w:tcPr>
            <w:tcW w:w="867" w:type="dxa"/>
            <w:tcBorders>
              <w:top w:val="nil"/>
              <w:left w:val="nil"/>
              <w:bottom w:val="single" w:sz="4" w:space="0" w:color="auto"/>
              <w:right w:val="single" w:sz="4" w:space="0" w:color="auto"/>
            </w:tcBorders>
            <w:noWrap/>
            <w:vAlign w:val="bottom"/>
            <w:hideMark/>
          </w:tcPr>
          <w:p w14:paraId="051A6919"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4.84%</w:t>
            </w:r>
          </w:p>
        </w:tc>
        <w:tc>
          <w:tcPr>
            <w:tcW w:w="809" w:type="dxa"/>
            <w:tcBorders>
              <w:top w:val="nil"/>
              <w:left w:val="nil"/>
              <w:bottom w:val="single" w:sz="4" w:space="0" w:color="auto"/>
              <w:right w:val="single" w:sz="4" w:space="0" w:color="auto"/>
            </w:tcBorders>
            <w:noWrap/>
            <w:vAlign w:val="bottom"/>
            <w:hideMark/>
          </w:tcPr>
          <w:p w14:paraId="613E954F"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1.91</w:t>
            </w:r>
          </w:p>
        </w:tc>
        <w:tc>
          <w:tcPr>
            <w:tcW w:w="737" w:type="dxa"/>
            <w:tcBorders>
              <w:top w:val="nil"/>
              <w:left w:val="nil"/>
              <w:bottom w:val="single" w:sz="4" w:space="0" w:color="auto"/>
              <w:right w:val="single" w:sz="4" w:space="0" w:color="auto"/>
            </w:tcBorders>
            <w:noWrap/>
            <w:vAlign w:val="bottom"/>
            <w:hideMark/>
          </w:tcPr>
          <w:p w14:paraId="38F2DE8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0.92</w:t>
            </w:r>
          </w:p>
        </w:tc>
        <w:tc>
          <w:tcPr>
            <w:tcW w:w="899" w:type="dxa"/>
            <w:tcBorders>
              <w:top w:val="nil"/>
              <w:left w:val="nil"/>
              <w:bottom w:val="single" w:sz="4" w:space="0" w:color="auto"/>
              <w:right w:val="single" w:sz="4" w:space="0" w:color="auto"/>
            </w:tcBorders>
            <w:noWrap/>
            <w:vAlign w:val="bottom"/>
            <w:hideMark/>
          </w:tcPr>
          <w:p w14:paraId="584EB66E"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0.87</w:t>
            </w:r>
          </w:p>
        </w:tc>
        <w:tc>
          <w:tcPr>
            <w:tcW w:w="1044" w:type="dxa"/>
            <w:tcBorders>
              <w:top w:val="nil"/>
              <w:left w:val="nil"/>
              <w:bottom w:val="single" w:sz="4" w:space="0" w:color="auto"/>
              <w:right w:val="single" w:sz="4" w:space="0" w:color="auto"/>
            </w:tcBorders>
            <w:noWrap/>
            <w:vAlign w:val="bottom"/>
            <w:hideMark/>
          </w:tcPr>
          <w:p w14:paraId="5EB9834F"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3.23</w:t>
            </w:r>
          </w:p>
        </w:tc>
        <w:tc>
          <w:tcPr>
            <w:tcW w:w="830" w:type="dxa"/>
            <w:tcBorders>
              <w:top w:val="nil"/>
              <w:left w:val="nil"/>
              <w:bottom w:val="single" w:sz="4" w:space="0" w:color="auto"/>
              <w:right w:val="single" w:sz="4" w:space="0" w:color="auto"/>
            </w:tcBorders>
            <w:noWrap/>
            <w:vAlign w:val="bottom"/>
            <w:hideMark/>
          </w:tcPr>
          <w:p w14:paraId="0DEF566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80.30</w:t>
            </w:r>
          </w:p>
        </w:tc>
        <w:tc>
          <w:tcPr>
            <w:tcW w:w="1103" w:type="dxa"/>
            <w:tcBorders>
              <w:top w:val="nil"/>
              <w:left w:val="nil"/>
              <w:bottom w:val="single" w:sz="4" w:space="0" w:color="auto"/>
              <w:right w:val="single" w:sz="4" w:space="0" w:color="auto"/>
            </w:tcBorders>
            <w:noWrap/>
            <w:vAlign w:val="bottom"/>
            <w:hideMark/>
          </w:tcPr>
          <w:p w14:paraId="31D17133"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126.74</w:t>
            </w:r>
          </w:p>
        </w:tc>
        <w:tc>
          <w:tcPr>
            <w:tcW w:w="1051" w:type="dxa"/>
            <w:tcBorders>
              <w:top w:val="nil"/>
              <w:left w:val="nil"/>
              <w:bottom w:val="single" w:sz="4" w:space="0" w:color="auto"/>
              <w:right w:val="single" w:sz="4" w:space="0" w:color="auto"/>
            </w:tcBorders>
            <w:noWrap/>
            <w:vAlign w:val="bottom"/>
            <w:hideMark/>
          </w:tcPr>
          <w:p w14:paraId="4AF0809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0.97</w:t>
            </w:r>
          </w:p>
        </w:tc>
      </w:tr>
      <w:tr w:rsidR="00A70B09" w:rsidRPr="00A70B09" w14:paraId="70CD0BD3"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0D1CCF6D"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2023</w:t>
            </w:r>
          </w:p>
        </w:tc>
        <w:tc>
          <w:tcPr>
            <w:tcW w:w="875" w:type="dxa"/>
            <w:tcBorders>
              <w:top w:val="nil"/>
              <w:left w:val="nil"/>
              <w:bottom w:val="single" w:sz="4" w:space="0" w:color="auto"/>
              <w:right w:val="single" w:sz="4" w:space="0" w:color="auto"/>
            </w:tcBorders>
            <w:noWrap/>
            <w:vAlign w:val="bottom"/>
            <w:hideMark/>
          </w:tcPr>
          <w:p w14:paraId="254E473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25.93%</w:t>
            </w:r>
          </w:p>
        </w:tc>
        <w:tc>
          <w:tcPr>
            <w:tcW w:w="1134" w:type="dxa"/>
            <w:tcBorders>
              <w:top w:val="nil"/>
              <w:left w:val="nil"/>
              <w:bottom w:val="single" w:sz="4" w:space="0" w:color="auto"/>
              <w:right w:val="single" w:sz="4" w:space="0" w:color="auto"/>
            </w:tcBorders>
            <w:noWrap/>
            <w:vAlign w:val="bottom"/>
            <w:hideMark/>
          </w:tcPr>
          <w:p w14:paraId="470FC34E"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7%</w:t>
            </w:r>
          </w:p>
        </w:tc>
        <w:tc>
          <w:tcPr>
            <w:tcW w:w="867" w:type="dxa"/>
            <w:tcBorders>
              <w:top w:val="nil"/>
              <w:left w:val="nil"/>
              <w:bottom w:val="single" w:sz="4" w:space="0" w:color="auto"/>
              <w:right w:val="single" w:sz="4" w:space="0" w:color="auto"/>
            </w:tcBorders>
            <w:noWrap/>
            <w:vAlign w:val="bottom"/>
            <w:hideMark/>
          </w:tcPr>
          <w:p w14:paraId="42C4608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2.76%</w:t>
            </w:r>
          </w:p>
        </w:tc>
        <w:tc>
          <w:tcPr>
            <w:tcW w:w="809" w:type="dxa"/>
            <w:tcBorders>
              <w:top w:val="nil"/>
              <w:left w:val="nil"/>
              <w:bottom w:val="single" w:sz="4" w:space="0" w:color="auto"/>
              <w:right w:val="single" w:sz="4" w:space="0" w:color="auto"/>
            </w:tcBorders>
            <w:noWrap/>
            <w:vAlign w:val="bottom"/>
            <w:hideMark/>
          </w:tcPr>
          <w:p w14:paraId="02B6EE3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1.90</w:t>
            </w:r>
          </w:p>
        </w:tc>
        <w:tc>
          <w:tcPr>
            <w:tcW w:w="737" w:type="dxa"/>
            <w:tcBorders>
              <w:top w:val="nil"/>
              <w:left w:val="nil"/>
              <w:bottom w:val="single" w:sz="4" w:space="0" w:color="auto"/>
              <w:right w:val="single" w:sz="4" w:space="0" w:color="auto"/>
            </w:tcBorders>
            <w:noWrap/>
            <w:vAlign w:val="bottom"/>
            <w:hideMark/>
          </w:tcPr>
          <w:p w14:paraId="3EDC593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0.88</w:t>
            </w:r>
          </w:p>
        </w:tc>
        <w:tc>
          <w:tcPr>
            <w:tcW w:w="899" w:type="dxa"/>
            <w:tcBorders>
              <w:top w:val="nil"/>
              <w:left w:val="nil"/>
              <w:bottom w:val="single" w:sz="4" w:space="0" w:color="auto"/>
              <w:right w:val="single" w:sz="4" w:space="0" w:color="auto"/>
            </w:tcBorders>
            <w:noWrap/>
            <w:vAlign w:val="bottom"/>
            <w:hideMark/>
          </w:tcPr>
          <w:p w14:paraId="265677A9"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1.02</w:t>
            </w:r>
          </w:p>
        </w:tc>
        <w:tc>
          <w:tcPr>
            <w:tcW w:w="1044" w:type="dxa"/>
            <w:tcBorders>
              <w:top w:val="nil"/>
              <w:left w:val="nil"/>
              <w:bottom w:val="single" w:sz="4" w:space="0" w:color="auto"/>
              <w:right w:val="single" w:sz="4" w:space="0" w:color="auto"/>
            </w:tcBorders>
            <w:noWrap/>
            <w:vAlign w:val="bottom"/>
            <w:hideMark/>
          </w:tcPr>
          <w:p w14:paraId="5E39441E"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2.25</w:t>
            </w:r>
          </w:p>
        </w:tc>
        <w:tc>
          <w:tcPr>
            <w:tcW w:w="830" w:type="dxa"/>
            <w:tcBorders>
              <w:top w:val="nil"/>
              <w:left w:val="nil"/>
              <w:bottom w:val="single" w:sz="4" w:space="0" w:color="auto"/>
              <w:right w:val="single" w:sz="4" w:space="0" w:color="auto"/>
            </w:tcBorders>
            <w:noWrap/>
            <w:vAlign w:val="bottom"/>
            <w:hideMark/>
          </w:tcPr>
          <w:p w14:paraId="55F715CE"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101.39</w:t>
            </w:r>
          </w:p>
        </w:tc>
        <w:tc>
          <w:tcPr>
            <w:tcW w:w="1103" w:type="dxa"/>
            <w:tcBorders>
              <w:top w:val="nil"/>
              <w:left w:val="nil"/>
              <w:bottom w:val="single" w:sz="4" w:space="0" w:color="auto"/>
              <w:right w:val="single" w:sz="4" w:space="0" w:color="auto"/>
            </w:tcBorders>
            <w:noWrap/>
            <w:vAlign w:val="bottom"/>
            <w:hideMark/>
          </w:tcPr>
          <w:p w14:paraId="030C50B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155.13</w:t>
            </w:r>
          </w:p>
        </w:tc>
        <w:tc>
          <w:tcPr>
            <w:tcW w:w="1051" w:type="dxa"/>
            <w:tcBorders>
              <w:top w:val="nil"/>
              <w:left w:val="nil"/>
              <w:bottom w:val="single" w:sz="4" w:space="0" w:color="auto"/>
              <w:right w:val="single" w:sz="4" w:space="0" w:color="auto"/>
            </w:tcBorders>
            <w:noWrap/>
            <w:vAlign w:val="bottom"/>
            <w:hideMark/>
          </w:tcPr>
          <w:p w14:paraId="0A80230B"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0.88</w:t>
            </w:r>
          </w:p>
        </w:tc>
      </w:tr>
      <w:tr w:rsidR="00A70B09" w:rsidRPr="00A70B09" w14:paraId="7ED0EEC5"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054BA2A5"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2024</w:t>
            </w:r>
          </w:p>
        </w:tc>
        <w:tc>
          <w:tcPr>
            <w:tcW w:w="875" w:type="dxa"/>
            <w:tcBorders>
              <w:top w:val="nil"/>
              <w:left w:val="nil"/>
              <w:bottom w:val="single" w:sz="4" w:space="0" w:color="auto"/>
              <w:right w:val="single" w:sz="4" w:space="0" w:color="auto"/>
            </w:tcBorders>
            <w:noWrap/>
            <w:vAlign w:val="bottom"/>
            <w:hideMark/>
          </w:tcPr>
          <w:p w14:paraId="41AB480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26.50%</w:t>
            </w:r>
          </w:p>
        </w:tc>
        <w:tc>
          <w:tcPr>
            <w:tcW w:w="1134" w:type="dxa"/>
            <w:tcBorders>
              <w:top w:val="nil"/>
              <w:left w:val="nil"/>
              <w:bottom w:val="single" w:sz="4" w:space="0" w:color="auto"/>
              <w:right w:val="single" w:sz="4" w:space="0" w:color="auto"/>
            </w:tcBorders>
            <w:noWrap/>
            <w:vAlign w:val="bottom"/>
            <w:hideMark/>
          </w:tcPr>
          <w:p w14:paraId="62F6A482"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14%</w:t>
            </w:r>
          </w:p>
        </w:tc>
        <w:tc>
          <w:tcPr>
            <w:tcW w:w="867" w:type="dxa"/>
            <w:tcBorders>
              <w:top w:val="nil"/>
              <w:left w:val="nil"/>
              <w:bottom w:val="single" w:sz="4" w:space="0" w:color="auto"/>
              <w:right w:val="single" w:sz="4" w:space="0" w:color="auto"/>
            </w:tcBorders>
            <w:noWrap/>
            <w:vAlign w:val="bottom"/>
            <w:hideMark/>
          </w:tcPr>
          <w:p w14:paraId="2B11EE03"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6.32%</w:t>
            </w:r>
          </w:p>
        </w:tc>
        <w:tc>
          <w:tcPr>
            <w:tcW w:w="809" w:type="dxa"/>
            <w:tcBorders>
              <w:top w:val="nil"/>
              <w:left w:val="nil"/>
              <w:bottom w:val="single" w:sz="4" w:space="0" w:color="auto"/>
              <w:right w:val="single" w:sz="4" w:space="0" w:color="auto"/>
            </w:tcBorders>
            <w:noWrap/>
            <w:vAlign w:val="bottom"/>
            <w:hideMark/>
          </w:tcPr>
          <w:p w14:paraId="69E4BA4F"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1.80</w:t>
            </w:r>
          </w:p>
        </w:tc>
        <w:tc>
          <w:tcPr>
            <w:tcW w:w="737" w:type="dxa"/>
            <w:tcBorders>
              <w:top w:val="nil"/>
              <w:left w:val="nil"/>
              <w:bottom w:val="single" w:sz="4" w:space="0" w:color="auto"/>
              <w:right w:val="single" w:sz="4" w:space="0" w:color="auto"/>
            </w:tcBorders>
            <w:noWrap/>
            <w:vAlign w:val="bottom"/>
            <w:hideMark/>
          </w:tcPr>
          <w:p w14:paraId="06CC6502"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0.84</w:t>
            </w:r>
          </w:p>
        </w:tc>
        <w:tc>
          <w:tcPr>
            <w:tcW w:w="899" w:type="dxa"/>
            <w:tcBorders>
              <w:top w:val="nil"/>
              <w:left w:val="nil"/>
              <w:bottom w:val="single" w:sz="4" w:space="0" w:color="auto"/>
              <w:right w:val="single" w:sz="4" w:space="0" w:color="auto"/>
            </w:tcBorders>
            <w:noWrap/>
            <w:vAlign w:val="bottom"/>
            <w:hideMark/>
          </w:tcPr>
          <w:p w14:paraId="6A4BBE5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0.97</w:t>
            </w:r>
          </w:p>
        </w:tc>
        <w:tc>
          <w:tcPr>
            <w:tcW w:w="1044" w:type="dxa"/>
            <w:tcBorders>
              <w:top w:val="nil"/>
              <w:left w:val="nil"/>
              <w:bottom w:val="single" w:sz="4" w:space="0" w:color="auto"/>
              <w:right w:val="single" w:sz="4" w:space="0" w:color="auto"/>
            </w:tcBorders>
            <w:noWrap/>
            <w:vAlign w:val="bottom"/>
            <w:hideMark/>
          </w:tcPr>
          <w:p w14:paraId="76D0F2E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4.56</w:t>
            </w:r>
          </w:p>
        </w:tc>
        <w:tc>
          <w:tcPr>
            <w:tcW w:w="830" w:type="dxa"/>
            <w:tcBorders>
              <w:top w:val="nil"/>
              <w:left w:val="nil"/>
              <w:bottom w:val="single" w:sz="4" w:space="0" w:color="auto"/>
              <w:right w:val="single" w:sz="4" w:space="0" w:color="auto"/>
            </w:tcBorders>
            <w:noWrap/>
            <w:vAlign w:val="bottom"/>
            <w:hideMark/>
          </w:tcPr>
          <w:p w14:paraId="4904759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102.95</w:t>
            </w:r>
          </w:p>
        </w:tc>
        <w:tc>
          <w:tcPr>
            <w:tcW w:w="1103" w:type="dxa"/>
            <w:tcBorders>
              <w:top w:val="nil"/>
              <w:left w:val="nil"/>
              <w:bottom w:val="single" w:sz="4" w:space="0" w:color="auto"/>
              <w:right w:val="single" w:sz="4" w:space="0" w:color="auto"/>
            </w:tcBorders>
            <w:noWrap/>
            <w:vAlign w:val="bottom"/>
            <w:hideMark/>
          </w:tcPr>
          <w:p w14:paraId="4B1F2519"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161.28</w:t>
            </w:r>
          </w:p>
        </w:tc>
        <w:tc>
          <w:tcPr>
            <w:tcW w:w="1051" w:type="dxa"/>
            <w:tcBorders>
              <w:top w:val="nil"/>
              <w:left w:val="nil"/>
              <w:bottom w:val="single" w:sz="4" w:space="0" w:color="auto"/>
              <w:right w:val="single" w:sz="4" w:space="0" w:color="auto"/>
            </w:tcBorders>
            <w:noWrap/>
            <w:vAlign w:val="bottom"/>
            <w:hideMark/>
          </w:tcPr>
          <w:p w14:paraId="04DF1FBB"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0.84</w:t>
            </w:r>
          </w:p>
        </w:tc>
      </w:tr>
      <w:tr w:rsidR="00A70B09" w:rsidRPr="00A70B09" w14:paraId="1618E1A2" w14:textId="77777777" w:rsidTr="00317CD4">
        <w:trPr>
          <w:trHeight w:val="223"/>
        </w:trPr>
        <w:tc>
          <w:tcPr>
            <w:tcW w:w="663" w:type="dxa"/>
            <w:tcBorders>
              <w:top w:val="nil"/>
              <w:left w:val="single" w:sz="4" w:space="0" w:color="auto"/>
              <w:bottom w:val="single" w:sz="4" w:space="0" w:color="auto"/>
              <w:right w:val="single" w:sz="4" w:space="0" w:color="auto"/>
            </w:tcBorders>
            <w:shd w:val="clear" w:color="000000" w:fill="CAEDFB"/>
            <w:noWrap/>
            <w:vAlign w:val="bottom"/>
            <w:hideMark/>
          </w:tcPr>
          <w:p w14:paraId="3064F15B" w14:textId="77777777" w:rsidR="00A70B09" w:rsidRPr="00A70B09" w:rsidRDefault="00A70B09" w:rsidP="00A70B09">
            <w:pPr>
              <w:spacing w:after="0" w:line="240" w:lineRule="auto"/>
              <w:jc w:val="center"/>
              <w:rPr>
                <w:rFonts w:ascii="Calibri" w:eastAsia="Times New Roman" w:hAnsi="Calibri" w:cs="Calibri"/>
                <w:b/>
                <w:bCs/>
                <w:color w:val="000000"/>
                <w:kern w:val="0"/>
                <w:sz w:val="22"/>
                <w:szCs w:val="22"/>
                <w:lang w:eastAsia="en-CA"/>
                <w14:ligatures w14:val="none"/>
              </w:rPr>
            </w:pPr>
            <w:r w:rsidRPr="00A70B09">
              <w:rPr>
                <w:rFonts w:ascii="Calibri" w:eastAsia="Times New Roman" w:hAnsi="Calibri" w:cs="Calibri"/>
                <w:b/>
                <w:bCs/>
                <w:color w:val="000000"/>
                <w:kern w:val="0"/>
                <w:sz w:val="22"/>
                <w:szCs w:val="22"/>
                <w:lang w:eastAsia="en-CA"/>
                <w14:ligatures w14:val="none"/>
              </w:rPr>
              <w:t>2025</w:t>
            </w:r>
          </w:p>
        </w:tc>
        <w:tc>
          <w:tcPr>
            <w:tcW w:w="875" w:type="dxa"/>
            <w:tcBorders>
              <w:top w:val="nil"/>
              <w:left w:val="nil"/>
              <w:bottom w:val="single" w:sz="4" w:space="0" w:color="auto"/>
              <w:right w:val="single" w:sz="4" w:space="0" w:color="auto"/>
            </w:tcBorders>
            <w:noWrap/>
            <w:vAlign w:val="bottom"/>
            <w:hideMark/>
          </w:tcPr>
          <w:p w14:paraId="2B8BF837"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21.67%</w:t>
            </w:r>
          </w:p>
        </w:tc>
        <w:tc>
          <w:tcPr>
            <w:tcW w:w="1134" w:type="dxa"/>
            <w:tcBorders>
              <w:top w:val="nil"/>
              <w:left w:val="nil"/>
              <w:bottom w:val="single" w:sz="4" w:space="0" w:color="auto"/>
              <w:right w:val="single" w:sz="4" w:space="0" w:color="auto"/>
            </w:tcBorders>
            <w:noWrap/>
            <w:vAlign w:val="bottom"/>
            <w:hideMark/>
          </w:tcPr>
          <w:p w14:paraId="33BE2CC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3%</w:t>
            </w:r>
          </w:p>
        </w:tc>
        <w:tc>
          <w:tcPr>
            <w:tcW w:w="867" w:type="dxa"/>
            <w:tcBorders>
              <w:top w:val="nil"/>
              <w:left w:val="nil"/>
              <w:bottom w:val="single" w:sz="4" w:space="0" w:color="auto"/>
              <w:right w:val="single" w:sz="4" w:space="0" w:color="auto"/>
            </w:tcBorders>
            <w:noWrap/>
            <w:vAlign w:val="bottom"/>
            <w:hideMark/>
          </w:tcPr>
          <w:p w14:paraId="21C7824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-1.32%</w:t>
            </w:r>
          </w:p>
        </w:tc>
        <w:tc>
          <w:tcPr>
            <w:tcW w:w="809" w:type="dxa"/>
            <w:tcBorders>
              <w:top w:val="nil"/>
              <w:left w:val="nil"/>
              <w:bottom w:val="single" w:sz="4" w:space="0" w:color="auto"/>
              <w:right w:val="single" w:sz="4" w:space="0" w:color="auto"/>
            </w:tcBorders>
            <w:noWrap/>
            <w:vAlign w:val="bottom"/>
            <w:hideMark/>
          </w:tcPr>
          <w:p w14:paraId="7DDD2D3C"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1.70</w:t>
            </w:r>
          </w:p>
        </w:tc>
        <w:tc>
          <w:tcPr>
            <w:tcW w:w="737" w:type="dxa"/>
            <w:tcBorders>
              <w:top w:val="nil"/>
              <w:left w:val="nil"/>
              <w:bottom w:val="single" w:sz="4" w:space="0" w:color="auto"/>
              <w:right w:val="single" w:sz="4" w:space="0" w:color="auto"/>
            </w:tcBorders>
            <w:noWrap/>
            <w:vAlign w:val="bottom"/>
            <w:hideMark/>
          </w:tcPr>
          <w:p w14:paraId="291D6264"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0.73</w:t>
            </w:r>
          </w:p>
        </w:tc>
        <w:tc>
          <w:tcPr>
            <w:tcW w:w="899" w:type="dxa"/>
            <w:tcBorders>
              <w:top w:val="nil"/>
              <w:left w:val="nil"/>
              <w:bottom w:val="single" w:sz="4" w:space="0" w:color="auto"/>
              <w:right w:val="single" w:sz="4" w:space="0" w:color="auto"/>
            </w:tcBorders>
            <w:noWrap/>
            <w:vAlign w:val="bottom"/>
            <w:hideMark/>
          </w:tcPr>
          <w:p w14:paraId="67545916"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1.09</w:t>
            </w:r>
          </w:p>
        </w:tc>
        <w:tc>
          <w:tcPr>
            <w:tcW w:w="1044" w:type="dxa"/>
            <w:tcBorders>
              <w:top w:val="nil"/>
              <w:left w:val="nil"/>
              <w:bottom w:val="single" w:sz="4" w:space="0" w:color="auto"/>
              <w:right w:val="single" w:sz="4" w:space="0" w:color="auto"/>
            </w:tcBorders>
            <w:noWrap/>
            <w:vAlign w:val="bottom"/>
            <w:hideMark/>
          </w:tcPr>
          <w:p w14:paraId="29EA9B21"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0.69</w:t>
            </w:r>
          </w:p>
        </w:tc>
        <w:tc>
          <w:tcPr>
            <w:tcW w:w="830" w:type="dxa"/>
            <w:tcBorders>
              <w:top w:val="nil"/>
              <w:left w:val="nil"/>
              <w:bottom w:val="single" w:sz="4" w:space="0" w:color="auto"/>
              <w:right w:val="single" w:sz="4" w:space="0" w:color="auto"/>
            </w:tcBorders>
            <w:noWrap/>
            <w:vAlign w:val="bottom"/>
            <w:hideMark/>
          </w:tcPr>
          <w:p w14:paraId="284DF750"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112.54</w:t>
            </w:r>
          </w:p>
        </w:tc>
        <w:tc>
          <w:tcPr>
            <w:tcW w:w="1103" w:type="dxa"/>
            <w:tcBorders>
              <w:top w:val="nil"/>
              <w:left w:val="nil"/>
              <w:bottom w:val="single" w:sz="4" w:space="0" w:color="auto"/>
              <w:right w:val="single" w:sz="4" w:space="0" w:color="auto"/>
            </w:tcBorders>
            <w:noWrap/>
            <w:vAlign w:val="bottom"/>
            <w:hideMark/>
          </w:tcPr>
          <w:p w14:paraId="521585FD"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182.50</w:t>
            </w:r>
          </w:p>
        </w:tc>
        <w:tc>
          <w:tcPr>
            <w:tcW w:w="1051" w:type="dxa"/>
            <w:tcBorders>
              <w:top w:val="nil"/>
              <w:left w:val="nil"/>
              <w:bottom w:val="single" w:sz="4" w:space="0" w:color="auto"/>
              <w:right w:val="single" w:sz="4" w:space="0" w:color="auto"/>
            </w:tcBorders>
            <w:noWrap/>
            <w:vAlign w:val="bottom"/>
            <w:hideMark/>
          </w:tcPr>
          <w:p w14:paraId="1EC21128" w14:textId="77777777" w:rsidR="00A70B09" w:rsidRPr="00A70B09" w:rsidRDefault="00A70B09" w:rsidP="00A70B09">
            <w:pPr>
              <w:spacing w:after="0" w:line="240" w:lineRule="auto"/>
              <w:jc w:val="center"/>
              <w:rPr>
                <w:rFonts w:ascii="Calibri" w:eastAsia="Times New Roman" w:hAnsi="Calibri" w:cs="Calibri"/>
                <w:color w:val="000000"/>
                <w:kern w:val="0"/>
                <w:sz w:val="22"/>
                <w:szCs w:val="22"/>
                <w:lang w:eastAsia="en-CA"/>
                <w14:ligatures w14:val="none"/>
              </w:rPr>
            </w:pPr>
            <w:r w:rsidRPr="00A70B09">
              <w:rPr>
                <w:rFonts w:ascii="Calibri" w:eastAsia="Times New Roman" w:hAnsi="Calibri" w:cs="Calibri"/>
                <w:color w:val="000000"/>
                <w:kern w:val="0"/>
                <w:sz w:val="22"/>
                <w:szCs w:val="22"/>
                <w:lang w:eastAsia="en-CA"/>
                <w14:ligatures w14:val="none"/>
              </w:rPr>
              <w:t>0.79</w:t>
            </w:r>
          </w:p>
        </w:tc>
      </w:tr>
    </w:tbl>
    <w:p w14:paraId="31D495A9" w14:textId="77777777" w:rsidR="00A70B09" w:rsidRPr="00A70B09" w:rsidRDefault="00A70B09" w:rsidP="00A70B09">
      <w:pPr>
        <w:spacing w:after="0"/>
        <w:contextualSpacing/>
        <w:rPr>
          <w:rFonts w:ascii="Calibri" w:hAnsi="Calibri" w:cs="Calibri"/>
          <w:sz w:val="22"/>
          <w:szCs w:val="22"/>
        </w:rPr>
      </w:pPr>
    </w:p>
    <w:p w14:paraId="2F906138" w14:textId="77777777" w:rsidR="00A70B09" w:rsidRPr="00A70B09" w:rsidRDefault="00A70B09" w:rsidP="00A70B09">
      <w:pPr>
        <w:spacing w:after="0"/>
        <w:contextualSpacing/>
        <w:rPr>
          <w:rFonts w:ascii="Calibri" w:hAnsi="Calibri" w:cs="Calibri"/>
          <w:sz w:val="22"/>
          <w:szCs w:val="22"/>
        </w:rPr>
      </w:pPr>
    </w:p>
    <w:p w14:paraId="09183D96" w14:textId="77777777" w:rsidR="00AD75A4" w:rsidRDefault="00A70B09" w:rsidP="00AD75A4">
      <w:pPr>
        <w:spacing w:after="0"/>
        <w:contextualSpacing/>
        <w:rPr>
          <w:rFonts w:ascii="Calibri" w:hAnsi="Calibri" w:cs="Calibri"/>
          <w:sz w:val="22"/>
          <w:szCs w:val="22"/>
        </w:rPr>
      </w:pPr>
      <w:r w:rsidRPr="00A70B09">
        <w:rPr>
          <w:rFonts w:ascii="Calibri" w:hAnsi="Calibri" w:cs="Calibri"/>
          <w:sz w:val="22"/>
          <w:szCs w:val="22"/>
        </w:rPr>
        <w:t>Question 1: Financial Performance and Risk Diagnostics</w:t>
      </w:r>
    </w:p>
    <w:p w14:paraId="111B140B" w14:textId="3D2241F9" w:rsidR="0013005A" w:rsidRPr="000273AB" w:rsidRDefault="0013005A" w:rsidP="000273AB">
      <w:pPr>
        <w:pStyle w:val="ListParagraph"/>
        <w:numPr>
          <w:ilvl w:val="0"/>
          <w:numId w:val="8"/>
        </w:numPr>
        <w:spacing w:after="0"/>
        <w:rPr>
          <w:rFonts w:ascii="Calibri" w:hAnsi="Calibri" w:cs="Calibri"/>
          <w:sz w:val="22"/>
          <w:szCs w:val="22"/>
        </w:rPr>
      </w:pPr>
      <w:r w:rsidRPr="000273AB">
        <w:rPr>
          <w:rFonts w:ascii="Calibri" w:hAnsi="Calibri" w:cs="Calibri"/>
          <w:sz w:val="22"/>
          <w:szCs w:val="22"/>
        </w:rPr>
        <w:t>Profitability</w:t>
      </w:r>
    </w:p>
    <w:p w14:paraId="68559F58" w14:textId="643C9DC4" w:rsidR="0013005A" w:rsidRDefault="0013005A" w:rsidP="00AD75A4">
      <w:pPr>
        <w:pStyle w:val="ListParagraph"/>
        <w:numPr>
          <w:ilvl w:val="0"/>
          <w:numId w:val="3"/>
        </w:numPr>
        <w:spacing w:after="0"/>
        <w:rPr>
          <w:rFonts w:ascii="Calibri" w:hAnsi="Calibri" w:cs="Calibri"/>
          <w:sz w:val="22"/>
          <w:szCs w:val="22"/>
        </w:rPr>
      </w:pPr>
      <w:r w:rsidRPr="00AD75A4">
        <w:rPr>
          <w:rFonts w:ascii="Calibri" w:hAnsi="Calibri" w:cs="Calibri"/>
          <w:sz w:val="22"/>
          <w:szCs w:val="22"/>
        </w:rPr>
        <w:t>Gross Margin declined from 30.95% from in 2020 to 21.67% in 2025. This indicates that Maple Leaf LLC is retaining a smaller portion of the revenue after covering cost of goods sold, consistent with the rising input/production cost, weaker pricing power, or reduced cost efficiency. It improved briefly in 2024 with 26.50% however this was not sustained into 2025, reinforcing overall deterioration in core gross profitability.</w:t>
      </w:r>
    </w:p>
    <w:p w14:paraId="38DB095B" w14:textId="77777777" w:rsidR="005769C5" w:rsidRDefault="005769C5" w:rsidP="00BC2CD9">
      <w:pPr>
        <w:pStyle w:val="ListParagraph"/>
        <w:spacing w:after="0"/>
        <w:ind w:left="1440"/>
        <w:rPr>
          <w:rFonts w:ascii="Calibri" w:hAnsi="Calibri" w:cs="Calibri"/>
          <w:sz w:val="22"/>
          <w:szCs w:val="22"/>
        </w:rPr>
      </w:pPr>
    </w:p>
    <w:p w14:paraId="31081EFD" w14:textId="7C67E577" w:rsidR="00BC2CD9" w:rsidRDefault="00BC2CD9" w:rsidP="00BC2CD9">
      <w:pPr>
        <w:pStyle w:val="ListParagraph"/>
        <w:spacing w:after="0"/>
        <w:ind w:left="1440"/>
        <w:rPr>
          <w:rFonts w:ascii="Calibri" w:hAnsi="Calibri" w:cs="Calibri"/>
          <w:sz w:val="22"/>
          <w:szCs w:val="22"/>
        </w:rPr>
      </w:pPr>
      <w:r w:rsidRPr="00BC2CD9">
        <w:rPr>
          <w:rFonts w:ascii="Calibri" w:hAnsi="Calibri" w:cs="Calibri"/>
          <w:sz w:val="22"/>
          <w:szCs w:val="22"/>
        </w:rPr>
        <w:t>(Gross margin, 2020) = Gross profit / Revenue = 130 / 420 = 30.95%</w:t>
      </w:r>
    </w:p>
    <w:p w14:paraId="04EC683F" w14:textId="77777777" w:rsidR="005769C5" w:rsidRPr="00AD75A4" w:rsidRDefault="005769C5" w:rsidP="00BC2CD9">
      <w:pPr>
        <w:pStyle w:val="ListParagraph"/>
        <w:spacing w:after="0"/>
        <w:ind w:left="1440"/>
        <w:rPr>
          <w:rFonts w:ascii="Calibri" w:hAnsi="Calibri" w:cs="Calibri"/>
          <w:sz w:val="22"/>
          <w:szCs w:val="22"/>
        </w:rPr>
      </w:pPr>
    </w:p>
    <w:p w14:paraId="721D6E80" w14:textId="3EEF99DD" w:rsidR="005769C5" w:rsidRDefault="007B307A" w:rsidP="008C2605">
      <w:pPr>
        <w:pStyle w:val="ListParagraph"/>
        <w:numPr>
          <w:ilvl w:val="0"/>
          <w:numId w:val="3"/>
        </w:numPr>
        <w:spacing w:after="0"/>
        <w:rPr>
          <w:rFonts w:ascii="Calibri" w:hAnsi="Calibri" w:cs="Calibri"/>
          <w:sz w:val="22"/>
          <w:szCs w:val="22"/>
        </w:rPr>
      </w:pPr>
      <w:r>
        <w:rPr>
          <w:rFonts w:ascii="Calibri" w:hAnsi="Calibri" w:cs="Calibri"/>
          <w:sz w:val="22"/>
          <w:szCs w:val="22"/>
        </w:rPr>
        <w:t>Operating Margin decreased from 10% in 2020 to 3% in 2025, indication of a weak operation performance and reduced ability to generate operating income from sales. The sharp increase to 14% in 2024 followed by a steep reduction to 3% in 2025 suggests volatility and limited persistence of operating improvements, which warrants caution when assessing sustainable earnings capacity.</w:t>
      </w:r>
    </w:p>
    <w:p w14:paraId="5E48E0DD" w14:textId="77777777" w:rsidR="00476198" w:rsidRDefault="00476198" w:rsidP="00476198">
      <w:pPr>
        <w:pStyle w:val="ListParagraph"/>
        <w:spacing w:after="0"/>
        <w:ind w:left="1440"/>
        <w:rPr>
          <w:rFonts w:ascii="Calibri" w:hAnsi="Calibri" w:cs="Calibri"/>
          <w:sz w:val="22"/>
          <w:szCs w:val="22"/>
        </w:rPr>
      </w:pPr>
    </w:p>
    <w:p w14:paraId="3C6DB465" w14:textId="544FA4F5" w:rsidR="00292729" w:rsidRDefault="005945D5" w:rsidP="00476198">
      <w:pPr>
        <w:pStyle w:val="ListParagraph"/>
        <w:spacing w:after="0"/>
        <w:ind w:left="1440"/>
        <w:rPr>
          <w:rFonts w:ascii="Calibri" w:hAnsi="Calibri" w:cs="Calibri"/>
          <w:sz w:val="22"/>
          <w:szCs w:val="22"/>
        </w:rPr>
      </w:pPr>
      <w:r>
        <w:rPr>
          <w:rFonts w:ascii="Calibri" w:hAnsi="Calibri" w:cs="Calibri"/>
          <w:sz w:val="22"/>
          <w:szCs w:val="22"/>
        </w:rPr>
        <w:t>(</w:t>
      </w:r>
      <w:r w:rsidR="00292729">
        <w:rPr>
          <w:rFonts w:ascii="Calibri" w:hAnsi="Calibri" w:cs="Calibri"/>
          <w:sz w:val="22"/>
          <w:szCs w:val="22"/>
        </w:rPr>
        <w:t>Operating Margin</w:t>
      </w:r>
      <w:r>
        <w:rPr>
          <w:rFonts w:ascii="Calibri" w:hAnsi="Calibri" w:cs="Calibri"/>
          <w:sz w:val="22"/>
          <w:szCs w:val="22"/>
        </w:rPr>
        <w:t>, 2020)</w:t>
      </w:r>
      <w:r w:rsidR="00202FC1">
        <w:rPr>
          <w:rFonts w:ascii="Calibri" w:hAnsi="Calibri" w:cs="Calibri"/>
          <w:sz w:val="22"/>
          <w:szCs w:val="22"/>
        </w:rPr>
        <w:t xml:space="preserve"> =</w:t>
      </w:r>
      <w:r w:rsidR="00D53D62">
        <w:rPr>
          <w:rFonts w:ascii="Calibri" w:hAnsi="Calibri" w:cs="Calibri"/>
          <w:sz w:val="22"/>
          <w:szCs w:val="22"/>
        </w:rPr>
        <w:t xml:space="preserve"> EBIT/Revenue or </w:t>
      </w:r>
      <w:r w:rsidR="00AF1818">
        <w:rPr>
          <w:rFonts w:ascii="Calibri" w:hAnsi="Calibri" w:cs="Calibri"/>
          <w:sz w:val="22"/>
          <w:szCs w:val="22"/>
        </w:rPr>
        <w:t>42/420 =10%</w:t>
      </w:r>
    </w:p>
    <w:p w14:paraId="43F9272A" w14:textId="77777777" w:rsidR="008B23ED" w:rsidRPr="008B23ED" w:rsidRDefault="008B23ED" w:rsidP="008B23ED">
      <w:pPr>
        <w:pStyle w:val="ListParagraph"/>
        <w:spacing w:after="0"/>
        <w:ind w:left="1440"/>
        <w:rPr>
          <w:rFonts w:ascii="Calibri" w:hAnsi="Calibri" w:cs="Calibri"/>
          <w:sz w:val="22"/>
          <w:szCs w:val="22"/>
        </w:rPr>
      </w:pPr>
    </w:p>
    <w:p w14:paraId="72352D57" w14:textId="1B740F95" w:rsidR="00AD75A4" w:rsidRDefault="00AD75A4" w:rsidP="00506657">
      <w:pPr>
        <w:pStyle w:val="ListParagraph"/>
        <w:spacing w:after="0"/>
        <w:rPr>
          <w:rFonts w:ascii="Calibri" w:hAnsi="Calibri" w:cs="Calibri"/>
          <w:sz w:val="22"/>
          <w:szCs w:val="22"/>
        </w:rPr>
      </w:pPr>
      <w:r w:rsidRPr="00AD75A4">
        <w:rPr>
          <w:rFonts w:ascii="Calibri" w:hAnsi="Calibri" w:cs="Calibri"/>
          <w:sz w:val="22"/>
          <w:szCs w:val="22"/>
        </w:rPr>
        <w:t>Liquidity</w:t>
      </w:r>
    </w:p>
    <w:p w14:paraId="571BF078" w14:textId="47C92A68" w:rsidR="00AD75A4" w:rsidRDefault="00AD75A4" w:rsidP="00AD75A4">
      <w:pPr>
        <w:pStyle w:val="ListParagraph"/>
        <w:numPr>
          <w:ilvl w:val="0"/>
          <w:numId w:val="5"/>
        </w:numPr>
        <w:spacing w:after="0"/>
        <w:rPr>
          <w:rFonts w:ascii="Calibri" w:hAnsi="Calibri" w:cs="Calibri"/>
          <w:sz w:val="22"/>
          <w:szCs w:val="22"/>
        </w:rPr>
      </w:pPr>
      <w:r>
        <w:rPr>
          <w:rFonts w:ascii="Calibri" w:hAnsi="Calibri" w:cs="Calibri"/>
          <w:sz w:val="22"/>
          <w:szCs w:val="22"/>
        </w:rPr>
        <w:t>Current ratio declined from 1.89 in 2020 to 1.70 in 2025.</w:t>
      </w:r>
      <w:r w:rsidR="0000406E">
        <w:rPr>
          <w:rFonts w:ascii="Calibri" w:hAnsi="Calibri" w:cs="Calibri"/>
          <w:sz w:val="22"/>
          <w:szCs w:val="22"/>
        </w:rPr>
        <w:t xml:space="preserve"> T</w:t>
      </w:r>
      <w:r>
        <w:rPr>
          <w:rFonts w:ascii="Calibri" w:hAnsi="Calibri" w:cs="Calibri"/>
          <w:sz w:val="22"/>
          <w:szCs w:val="22"/>
        </w:rPr>
        <w:t xml:space="preserve">he ratio remains above 1.0, </w:t>
      </w:r>
      <w:r w:rsidR="0000406E">
        <w:rPr>
          <w:rFonts w:ascii="Calibri" w:hAnsi="Calibri" w:cs="Calibri"/>
          <w:sz w:val="22"/>
          <w:szCs w:val="22"/>
        </w:rPr>
        <w:t>which</w:t>
      </w:r>
      <w:r>
        <w:rPr>
          <w:rFonts w:ascii="Calibri" w:hAnsi="Calibri" w:cs="Calibri"/>
          <w:sz w:val="22"/>
          <w:szCs w:val="22"/>
        </w:rPr>
        <w:t xml:space="preserve"> suggests that current assets still exceed current liabilities. </w:t>
      </w:r>
      <w:r w:rsidR="0000406E">
        <w:rPr>
          <w:rFonts w:ascii="Calibri" w:hAnsi="Calibri" w:cs="Calibri"/>
          <w:sz w:val="22"/>
          <w:szCs w:val="22"/>
        </w:rPr>
        <w:t>However, the</w:t>
      </w:r>
      <w:r>
        <w:rPr>
          <w:rFonts w:ascii="Calibri" w:hAnsi="Calibri" w:cs="Calibri"/>
          <w:sz w:val="22"/>
          <w:szCs w:val="22"/>
        </w:rPr>
        <w:t xml:space="preserve"> downward trend indicates that the short-term financial cushion is shrinking overtime.</w:t>
      </w:r>
    </w:p>
    <w:p w14:paraId="35775E1F" w14:textId="77777777" w:rsidR="00AF1818" w:rsidRDefault="00AF1818" w:rsidP="00AF1818">
      <w:pPr>
        <w:pStyle w:val="ListParagraph"/>
        <w:spacing w:after="0"/>
        <w:ind w:left="1440"/>
        <w:rPr>
          <w:rFonts w:ascii="Calibri" w:hAnsi="Calibri" w:cs="Calibri"/>
          <w:sz w:val="22"/>
          <w:szCs w:val="22"/>
        </w:rPr>
      </w:pPr>
    </w:p>
    <w:p w14:paraId="0C22E235" w14:textId="7B10424E" w:rsidR="001410E1" w:rsidRDefault="001410E1" w:rsidP="00AF1818">
      <w:pPr>
        <w:pStyle w:val="ListParagraph"/>
        <w:spacing w:after="0"/>
        <w:ind w:left="1440"/>
        <w:rPr>
          <w:rFonts w:ascii="Calibri" w:hAnsi="Calibri" w:cs="Calibri"/>
          <w:sz w:val="22"/>
          <w:szCs w:val="22"/>
        </w:rPr>
      </w:pPr>
      <w:r>
        <w:rPr>
          <w:rFonts w:ascii="Calibri" w:hAnsi="Calibri" w:cs="Calibri"/>
          <w:sz w:val="22"/>
          <w:szCs w:val="22"/>
        </w:rPr>
        <w:t>(</w:t>
      </w:r>
      <w:r w:rsidR="00CC00C6">
        <w:rPr>
          <w:rFonts w:ascii="Calibri" w:hAnsi="Calibri" w:cs="Calibri"/>
          <w:sz w:val="22"/>
          <w:szCs w:val="22"/>
        </w:rPr>
        <w:t>Current ratio, 2020) = Total current assets/ Total current liabilities</w:t>
      </w:r>
      <w:r w:rsidR="0093078C">
        <w:rPr>
          <w:rFonts w:ascii="Calibri" w:hAnsi="Calibri" w:cs="Calibri"/>
          <w:sz w:val="22"/>
          <w:szCs w:val="22"/>
        </w:rPr>
        <w:t xml:space="preserve"> = 170/90 =1.89</w:t>
      </w:r>
    </w:p>
    <w:p w14:paraId="70F93094" w14:textId="3D29BB92" w:rsidR="00AD75A4" w:rsidRDefault="0000406E" w:rsidP="00AD75A4">
      <w:pPr>
        <w:pStyle w:val="ListParagraph"/>
        <w:numPr>
          <w:ilvl w:val="0"/>
          <w:numId w:val="5"/>
        </w:numPr>
        <w:spacing w:after="0"/>
        <w:rPr>
          <w:rFonts w:ascii="Calibri" w:hAnsi="Calibri" w:cs="Calibri"/>
          <w:sz w:val="22"/>
          <w:szCs w:val="22"/>
        </w:rPr>
      </w:pPr>
      <w:r w:rsidRPr="0000406E">
        <w:rPr>
          <w:rFonts w:ascii="Calibri" w:hAnsi="Calibri" w:cs="Calibri"/>
          <w:sz w:val="22"/>
          <w:szCs w:val="22"/>
        </w:rPr>
        <w:lastRenderedPageBreak/>
        <w:t>Quick Ratio declined more materially from 1.11 (2020) to 0.73 (2025). Because the quick ratio excludes inventory and focuses on near-cash resources (cash and receivables), the decline indicates weakening immediate liquidity and greater reliance on inventory liquidation or external financing to meet short-term obligations.</w:t>
      </w:r>
    </w:p>
    <w:p w14:paraId="32304D69" w14:textId="77777777" w:rsidR="00C7346D" w:rsidRDefault="00C7346D" w:rsidP="00C7346D">
      <w:pPr>
        <w:pStyle w:val="ListParagraph"/>
        <w:spacing w:after="0"/>
        <w:ind w:left="1440"/>
        <w:rPr>
          <w:rFonts w:ascii="Calibri" w:hAnsi="Calibri" w:cs="Calibri"/>
          <w:sz w:val="22"/>
          <w:szCs w:val="22"/>
        </w:rPr>
      </w:pPr>
    </w:p>
    <w:p w14:paraId="0F3EE361" w14:textId="04445495" w:rsidR="00EB5D71" w:rsidRDefault="00EB5D71" w:rsidP="00C7346D">
      <w:pPr>
        <w:pStyle w:val="ListParagraph"/>
        <w:spacing w:after="0"/>
        <w:ind w:left="1440"/>
        <w:rPr>
          <w:rFonts w:ascii="Calibri" w:hAnsi="Calibri" w:cs="Calibri"/>
          <w:sz w:val="22"/>
          <w:szCs w:val="22"/>
        </w:rPr>
      </w:pPr>
      <w:r>
        <w:rPr>
          <w:rFonts w:ascii="Calibri" w:hAnsi="Calibri" w:cs="Calibri"/>
          <w:sz w:val="22"/>
          <w:szCs w:val="22"/>
        </w:rPr>
        <w:t xml:space="preserve">(Quick ratio, 2020) = </w:t>
      </w:r>
      <w:r w:rsidR="00B23230">
        <w:rPr>
          <w:rFonts w:ascii="Calibri" w:hAnsi="Calibri" w:cs="Calibri"/>
          <w:sz w:val="22"/>
          <w:szCs w:val="22"/>
        </w:rPr>
        <w:t>(</w:t>
      </w:r>
      <w:r>
        <w:rPr>
          <w:rFonts w:ascii="Calibri" w:hAnsi="Calibri" w:cs="Calibri"/>
          <w:sz w:val="22"/>
          <w:szCs w:val="22"/>
        </w:rPr>
        <w:t>Cash</w:t>
      </w:r>
      <w:r w:rsidR="00B23230">
        <w:rPr>
          <w:rFonts w:ascii="Calibri" w:hAnsi="Calibri" w:cs="Calibri"/>
          <w:sz w:val="22"/>
          <w:szCs w:val="22"/>
        </w:rPr>
        <w:t xml:space="preserve"> + </w:t>
      </w:r>
      <w:r>
        <w:rPr>
          <w:rFonts w:ascii="Calibri" w:hAnsi="Calibri" w:cs="Calibri"/>
          <w:sz w:val="22"/>
          <w:szCs w:val="22"/>
        </w:rPr>
        <w:t>Accounts Receivable</w:t>
      </w:r>
      <w:r w:rsidR="00B23230">
        <w:rPr>
          <w:rFonts w:ascii="Calibri" w:hAnsi="Calibri" w:cs="Calibri"/>
          <w:sz w:val="22"/>
          <w:szCs w:val="22"/>
        </w:rPr>
        <w:t xml:space="preserve">/ Current </w:t>
      </w:r>
      <w:r w:rsidR="00945FA7">
        <w:rPr>
          <w:rFonts w:ascii="Calibri" w:hAnsi="Calibri" w:cs="Calibri"/>
          <w:sz w:val="22"/>
          <w:szCs w:val="22"/>
        </w:rPr>
        <w:t xml:space="preserve">Liabilities </w:t>
      </w:r>
      <w:r w:rsidR="00A75BB6">
        <w:rPr>
          <w:rFonts w:ascii="Calibri" w:hAnsi="Calibri" w:cs="Calibri"/>
          <w:sz w:val="22"/>
          <w:szCs w:val="22"/>
        </w:rPr>
        <w:t>= (</w:t>
      </w:r>
      <w:r w:rsidR="00B23230">
        <w:rPr>
          <w:rFonts w:ascii="Calibri" w:hAnsi="Calibri" w:cs="Calibri"/>
          <w:sz w:val="22"/>
          <w:szCs w:val="22"/>
        </w:rPr>
        <w:t>45+55)/90 =1.11</w:t>
      </w:r>
      <w:r>
        <w:rPr>
          <w:rFonts w:ascii="Calibri" w:hAnsi="Calibri" w:cs="Calibri"/>
          <w:sz w:val="22"/>
          <w:szCs w:val="22"/>
        </w:rPr>
        <w:t xml:space="preserve"> </w:t>
      </w:r>
    </w:p>
    <w:p w14:paraId="239876BB" w14:textId="73D60081" w:rsidR="00C7346D" w:rsidRDefault="00C7346D" w:rsidP="00506657">
      <w:pPr>
        <w:pStyle w:val="ListParagraph"/>
        <w:spacing w:after="0"/>
        <w:rPr>
          <w:rFonts w:ascii="Calibri" w:hAnsi="Calibri" w:cs="Calibri"/>
          <w:sz w:val="22"/>
          <w:szCs w:val="22"/>
        </w:rPr>
      </w:pPr>
      <w:r>
        <w:rPr>
          <w:rFonts w:ascii="Calibri" w:hAnsi="Calibri" w:cs="Calibri"/>
          <w:sz w:val="22"/>
          <w:szCs w:val="22"/>
        </w:rPr>
        <w:t>Solvency</w:t>
      </w:r>
    </w:p>
    <w:p w14:paraId="1FE76716" w14:textId="71C0828E" w:rsidR="00506657" w:rsidRDefault="00060D65" w:rsidP="00060D65">
      <w:pPr>
        <w:pStyle w:val="ListParagraph"/>
        <w:numPr>
          <w:ilvl w:val="0"/>
          <w:numId w:val="6"/>
        </w:numPr>
        <w:spacing w:after="0"/>
        <w:rPr>
          <w:rFonts w:ascii="Calibri" w:hAnsi="Calibri" w:cs="Calibri"/>
          <w:sz w:val="22"/>
          <w:szCs w:val="22"/>
        </w:rPr>
      </w:pPr>
      <w:r>
        <w:rPr>
          <w:rFonts w:ascii="Calibri" w:hAnsi="Calibri" w:cs="Calibri"/>
          <w:sz w:val="22"/>
          <w:szCs w:val="22"/>
        </w:rPr>
        <w:t>Debt -to-Equity increased from 0.58</w:t>
      </w:r>
      <w:r w:rsidR="008450A8">
        <w:rPr>
          <w:rFonts w:ascii="Calibri" w:hAnsi="Calibri" w:cs="Calibri"/>
          <w:sz w:val="22"/>
          <w:szCs w:val="22"/>
        </w:rPr>
        <w:t xml:space="preserve"> </w:t>
      </w:r>
      <w:r w:rsidR="0020729B">
        <w:rPr>
          <w:rFonts w:ascii="Calibri" w:hAnsi="Calibri" w:cs="Calibri"/>
          <w:sz w:val="22"/>
          <w:szCs w:val="22"/>
        </w:rPr>
        <w:t>in</w:t>
      </w:r>
      <w:r w:rsidR="008450A8">
        <w:rPr>
          <w:rFonts w:ascii="Calibri" w:hAnsi="Calibri" w:cs="Calibri"/>
          <w:sz w:val="22"/>
          <w:szCs w:val="22"/>
        </w:rPr>
        <w:t xml:space="preserve"> 2020 to 1.09</w:t>
      </w:r>
      <w:r w:rsidR="0020729B">
        <w:rPr>
          <w:rFonts w:ascii="Calibri" w:hAnsi="Calibri" w:cs="Calibri"/>
          <w:sz w:val="22"/>
          <w:szCs w:val="22"/>
        </w:rPr>
        <w:t xml:space="preserve"> in 2025, indicating that Maple Leaf LLC has become more </w:t>
      </w:r>
      <w:r w:rsidR="00882979">
        <w:rPr>
          <w:rFonts w:ascii="Calibri" w:hAnsi="Calibri" w:cs="Calibri"/>
          <w:sz w:val="22"/>
          <w:szCs w:val="22"/>
        </w:rPr>
        <w:t>dependent</w:t>
      </w:r>
      <w:r w:rsidR="00254596">
        <w:rPr>
          <w:rFonts w:ascii="Calibri" w:hAnsi="Calibri" w:cs="Calibri"/>
          <w:sz w:val="22"/>
          <w:szCs w:val="22"/>
        </w:rPr>
        <w:t xml:space="preserve"> with debt financing </w:t>
      </w:r>
      <w:r w:rsidR="001973D6">
        <w:rPr>
          <w:rFonts w:ascii="Calibri" w:hAnsi="Calibri" w:cs="Calibri"/>
          <w:sz w:val="22"/>
          <w:szCs w:val="22"/>
        </w:rPr>
        <w:t xml:space="preserve">or </w:t>
      </w:r>
      <w:r w:rsidR="00254596">
        <w:rPr>
          <w:rFonts w:ascii="Calibri" w:hAnsi="Calibri" w:cs="Calibri"/>
          <w:sz w:val="22"/>
          <w:szCs w:val="22"/>
        </w:rPr>
        <w:t xml:space="preserve">growing shareholder </w:t>
      </w:r>
      <w:r w:rsidR="00172876">
        <w:rPr>
          <w:rFonts w:ascii="Calibri" w:hAnsi="Calibri" w:cs="Calibri"/>
          <w:sz w:val="22"/>
          <w:szCs w:val="22"/>
        </w:rPr>
        <w:t>funding overtime</w:t>
      </w:r>
      <w:r w:rsidR="00254596">
        <w:rPr>
          <w:rFonts w:ascii="Calibri" w:hAnsi="Calibri" w:cs="Calibri"/>
          <w:sz w:val="22"/>
          <w:szCs w:val="22"/>
        </w:rPr>
        <w:t xml:space="preserve">. A </w:t>
      </w:r>
      <w:r w:rsidR="006F3601">
        <w:rPr>
          <w:rFonts w:ascii="Calibri" w:hAnsi="Calibri" w:cs="Calibri"/>
          <w:sz w:val="22"/>
          <w:szCs w:val="22"/>
        </w:rPr>
        <w:t>rising leverage</w:t>
      </w:r>
      <w:r w:rsidR="00254596">
        <w:rPr>
          <w:rFonts w:ascii="Calibri" w:hAnsi="Calibri" w:cs="Calibri"/>
          <w:sz w:val="22"/>
          <w:szCs w:val="22"/>
        </w:rPr>
        <w:t xml:space="preserve"> profile increases financial risk particularly</w:t>
      </w:r>
      <w:r w:rsidR="004004C5">
        <w:rPr>
          <w:rFonts w:ascii="Calibri" w:hAnsi="Calibri" w:cs="Calibri"/>
          <w:sz w:val="22"/>
          <w:szCs w:val="22"/>
        </w:rPr>
        <w:t xml:space="preserve"> when profitability is weakening.</w:t>
      </w:r>
    </w:p>
    <w:p w14:paraId="6DCB7F43" w14:textId="77777777" w:rsidR="00945FA7" w:rsidRDefault="00945FA7" w:rsidP="00945FA7">
      <w:pPr>
        <w:pStyle w:val="ListParagraph"/>
        <w:spacing w:after="0"/>
        <w:ind w:left="1440"/>
        <w:rPr>
          <w:rFonts w:ascii="Calibri" w:hAnsi="Calibri" w:cs="Calibri"/>
          <w:sz w:val="22"/>
          <w:szCs w:val="22"/>
        </w:rPr>
      </w:pPr>
    </w:p>
    <w:p w14:paraId="75B70C4F" w14:textId="0A0B1141" w:rsidR="00DE49AF" w:rsidRDefault="00DE49AF" w:rsidP="00945FA7">
      <w:pPr>
        <w:pStyle w:val="ListParagraph"/>
        <w:spacing w:after="0"/>
        <w:ind w:left="1440"/>
        <w:rPr>
          <w:rFonts w:ascii="Calibri" w:hAnsi="Calibri" w:cs="Calibri"/>
          <w:sz w:val="22"/>
          <w:szCs w:val="22"/>
        </w:rPr>
      </w:pPr>
      <w:r>
        <w:rPr>
          <w:rFonts w:ascii="Calibri" w:hAnsi="Calibri" w:cs="Calibri"/>
          <w:sz w:val="22"/>
          <w:szCs w:val="22"/>
        </w:rPr>
        <w:t xml:space="preserve">(Debt-to-Equity) = </w:t>
      </w:r>
      <w:r w:rsidR="00C54C35">
        <w:rPr>
          <w:rFonts w:ascii="Calibri" w:hAnsi="Calibri" w:cs="Calibri"/>
          <w:sz w:val="22"/>
          <w:szCs w:val="22"/>
        </w:rPr>
        <w:t>(Short</w:t>
      </w:r>
      <w:r w:rsidR="00C42B49">
        <w:rPr>
          <w:rFonts w:ascii="Calibri" w:hAnsi="Calibri" w:cs="Calibri"/>
          <w:sz w:val="22"/>
          <w:szCs w:val="22"/>
        </w:rPr>
        <w:t xml:space="preserve"> term debt+ long term debt)/ Total Equity </w:t>
      </w:r>
      <w:r w:rsidR="00DC3731">
        <w:rPr>
          <w:rFonts w:ascii="Calibri" w:hAnsi="Calibri" w:cs="Calibri"/>
          <w:sz w:val="22"/>
          <w:szCs w:val="22"/>
        </w:rPr>
        <w:t>= (20+90)/190=.58</w:t>
      </w:r>
    </w:p>
    <w:p w14:paraId="62FD4586" w14:textId="77777777" w:rsidR="00C42B49" w:rsidRDefault="00C42B49" w:rsidP="00945FA7">
      <w:pPr>
        <w:pStyle w:val="ListParagraph"/>
        <w:spacing w:after="0"/>
        <w:ind w:left="1440"/>
        <w:rPr>
          <w:rFonts w:ascii="Calibri" w:hAnsi="Calibri" w:cs="Calibri"/>
          <w:sz w:val="22"/>
          <w:szCs w:val="22"/>
        </w:rPr>
      </w:pPr>
    </w:p>
    <w:p w14:paraId="0C5A2923" w14:textId="45833F99" w:rsidR="00C25B74" w:rsidRDefault="00C25B74" w:rsidP="00060D65">
      <w:pPr>
        <w:pStyle w:val="ListParagraph"/>
        <w:numPr>
          <w:ilvl w:val="0"/>
          <w:numId w:val="6"/>
        </w:numPr>
        <w:spacing w:after="0"/>
        <w:rPr>
          <w:rFonts w:ascii="Calibri" w:hAnsi="Calibri" w:cs="Calibri"/>
          <w:sz w:val="22"/>
          <w:szCs w:val="22"/>
        </w:rPr>
      </w:pPr>
      <w:r w:rsidRPr="00C25B74">
        <w:rPr>
          <w:rFonts w:ascii="Calibri" w:hAnsi="Calibri" w:cs="Calibri"/>
          <w:sz w:val="22"/>
          <w:szCs w:val="22"/>
        </w:rPr>
        <w:t xml:space="preserve">Interest Coverage declined from 5.25 (2020) to 0.69 (2025). The 2025 value below 1.0 implies operating income is insufficient to cover interest expense, representing a critical debt-servicing concern. Although coverage improved temporarily in 2024 (4.56x), the subsequent collapse in 2025 suggests </w:t>
      </w:r>
      <w:r w:rsidR="009B2055">
        <w:rPr>
          <w:rFonts w:ascii="Calibri" w:hAnsi="Calibri" w:cs="Calibri"/>
          <w:sz w:val="22"/>
          <w:szCs w:val="22"/>
        </w:rPr>
        <w:t xml:space="preserve">an </w:t>
      </w:r>
      <w:r w:rsidRPr="00C25B74">
        <w:rPr>
          <w:rFonts w:ascii="Calibri" w:hAnsi="Calibri" w:cs="Calibri"/>
          <w:sz w:val="22"/>
          <w:szCs w:val="22"/>
        </w:rPr>
        <w:t>elevated refinancing or financial distress risk.</w:t>
      </w:r>
    </w:p>
    <w:p w14:paraId="05AD7959" w14:textId="77777777" w:rsidR="00DC3731" w:rsidRDefault="00DC3731" w:rsidP="00DC3731">
      <w:pPr>
        <w:pStyle w:val="ListParagraph"/>
        <w:spacing w:after="0"/>
        <w:ind w:left="1440"/>
        <w:rPr>
          <w:rFonts w:ascii="Calibri" w:hAnsi="Calibri" w:cs="Calibri"/>
          <w:sz w:val="22"/>
          <w:szCs w:val="22"/>
        </w:rPr>
      </w:pPr>
    </w:p>
    <w:p w14:paraId="2040B435" w14:textId="62AB9585" w:rsidR="00DC3731" w:rsidRDefault="00DC3731" w:rsidP="00DC3731">
      <w:pPr>
        <w:pStyle w:val="ListParagraph"/>
        <w:spacing w:after="0"/>
        <w:ind w:left="1440"/>
        <w:rPr>
          <w:rFonts w:ascii="Calibri" w:hAnsi="Calibri" w:cs="Calibri"/>
          <w:sz w:val="22"/>
          <w:szCs w:val="22"/>
        </w:rPr>
      </w:pPr>
      <w:r>
        <w:rPr>
          <w:rFonts w:ascii="Calibri" w:hAnsi="Calibri" w:cs="Calibri"/>
          <w:sz w:val="22"/>
          <w:szCs w:val="22"/>
        </w:rPr>
        <w:t>(Interest Coverage) =</w:t>
      </w:r>
      <w:r w:rsidR="001A338C">
        <w:rPr>
          <w:rFonts w:ascii="Calibri" w:hAnsi="Calibri" w:cs="Calibri"/>
          <w:sz w:val="22"/>
          <w:szCs w:val="22"/>
        </w:rPr>
        <w:t>EBIT/Interest Expense = 42/8 = 5.25</w:t>
      </w:r>
    </w:p>
    <w:p w14:paraId="4ADE4373" w14:textId="77777777" w:rsidR="008B41E3" w:rsidRDefault="008B41E3" w:rsidP="008B23ED">
      <w:pPr>
        <w:spacing w:after="0"/>
        <w:ind w:left="720"/>
        <w:rPr>
          <w:rFonts w:ascii="Calibri" w:hAnsi="Calibri" w:cs="Calibri"/>
          <w:sz w:val="22"/>
          <w:szCs w:val="22"/>
        </w:rPr>
      </w:pPr>
    </w:p>
    <w:p w14:paraId="3457A4F3" w14:textId="45F10875" w:rsidR="008B23ED" w:rsidRDefault="008B41E3" w:rsidP="008B23ED">
      <w:pPr>
        <w:spacing w:after="0"/>
        <w:ind w:left="720"/>
        <w:rPr>
          <w:rFonts w:ascii="Calibri" w:hAnsi="Calibri" w:cs="Calibri"/>
          <w:sz w:val="22"/>
          <w:szCs w:val="22"/>
        </w:rPr>
      </w:pPr>
      <w:r w:rsidRPr="008B41E3">
        <w:rPr>
          <w:rFonts w:ascii="Calibri" w:hAnsi="Calibri" w:cs="Calibri"/>
          <w:sz w:val="22"/>
          <w:szCs w:val="22"/>
        </w:rPr>
        <w:t>Operational Efficiency</w:t>
      </w:r>
    </w:p>
    <w:p w14:paraId="4999D607" w14:textId="01D8DB63" w:rsidR="008B41E3" w:rsidRDefault="008B41E3" w:rsidP="008B41E3">
      <w:pPr>
        <w:pStyle w:val="ListParagraph"/>
        <w:numPr>
          <w:ilvl w:val="0"/>
          <w:numId w:val="7"/>
        </w:numPr>
        <w:spacing w:after="0"/>
        <w:rPr>
          <w:rFonts w:ascii="Calibri" w:hAnsi="Calibri" w:cs="Calibri"/>
          <w:sz w:val="22"/>
          <w:szCs w:val="22"/>
        </w:rPr>
      </w:pPr>
      <w:r>
        <w:rPr>
          <w:rFonts w:ascii="Calibri" w:hAnsi="Calibri" w:cs="Calibri"/>
          <w:sz w:val="22"/>
          <w:szCs w:val="22"/>
        </w:rPr>
        <w:t xml:space="preserve">Day Sales Outstanding </w:t>
      </w:r>
      <w:r w:rsidR="00224AEF">
        <w:rPr>
          <w:rFonts w:ascii="Calibri" w:hAnsi="Calibri" w:cs="Calibri"/>
          <w:sz w:val="22"/>
          <w:szCs w:val="22"/>
        </w:rPr>
        <w:t>increased from 47.80 days (2020) to 112.54 (2025)</w:t>
      </w:r>
      <w:r w:rsidR="00B41B4C">
        <w:rPr>
          <w:rFonts w:ascii="Calibri" w:hAnsi="Calibri" w:cs="Calibri"/>
          <w:sz w:val="22"/>
          <w:szCs w:val="22"/>
        </w:rPr>
        <w:t xml:space="preserve">, indicating that receivables are being collected much more slowly. This deterioration suggests that weaker credit/collection </w:t>
      </w:r>
      <w:r w:rsidR="00985BDE">
        <w:rPr>
          <w:rFonts w:ascii="Calibri" w:hAnsi="Calibri" w:cs="Calibri"/>
          <w:sz w:val="22"/>
          <w:szCs w:val="22"/>
        </w:rPr>
        <w:t>effectiveness and a growing drag on cash conversion.</w:t>
      </w:r>
    </w:p>
    <w:p w14:paraId="0A1EF67D" w14:textId="77777777" w:rsidR="00C10B18" w:rsidRDefault="00C10B18" w:rsidP="00C10B18">
      <w:pPr>
        <w:pStyle w:val="ListParagraph"/>
        <w:spacing w:after="0"/>
        <w:ind w:left="1440"/>
        <w:rPr>
          <w:rFonts w:ascii="Calibri" w:hAnsi="Calibri" w:cs="Calibri"/>
          <w:sz w:val="22"/>
          <w:szCs w:val="22"/>
        </w:rPr>
      </w:pPr>
    </w:p>
    <w:p w14:paraId="75CA09EE" w14:textId="5971469E" w:rsidR="00C10B18" w:rsidRDefault="00C10B18" w:rsidP="00C10B18">
      <w:pPr>
        <w:pStyle w:val="ListParagraph"/>
        <w:spacing w:after="0"/>
        <w:ind w:left="1440"/>
        <w:rPr>
          <w:rFonts w:ascii="Calibri" w:hAnsi="Calibri" w:cs="Calibri"/>
          <w:sz w:val="22"/>
          <w:szCs w:val="22"/>
        </w:rPr>
      </w:pPr>
      <w:r>
        <w:rPr>
          <w:rFonts w:ascii="Calibri" w:hAnsi="Calibri" w:cs="Calibri"/>
          <w:sz w:val="22"/>
          <w:szCs w:val="22"/>
        </w:rPr>
        <w:t>DSO</w:t>
      </w:r>
      <w:r w:rsidR="007964DA">
        <w:rPr>
          <w:rFonts w:ascii="Calibri" w:hAnsi="Calibri" w:cs="Calibri"/>
          <w:sz w:val="22"/>
          <w:szCs w:val="22"/>
        </w:rPr>
        <w:t xml:space="preserve"> </w:t>
      </w:r>
      <w:r>
        <w:rPr>
          <w:rFonts w:ascii="Calibri" w:hAnsi="Calibri" w:cs="Calibri"/>
          <w:sz w:val="22"/>
          <w:szCs w:val="22"/>
        </w:rPr>
        <w:t xml:space="preserve">(days) = </w:t>
      </w:r>
      <w:r w:rsidR="00736A4F">
        <w:rPr>
          <w:rFonts w:ascii="Calibri" w:hAnsi="Calibri" w:cs="Calibri"/>
          <w:sz w:val="22"/>
          <w:szCs w:val="22"/>
        </w:rPr>
        <w:t xml:space="preserve">(Accounts Receivable/Revenue) x 365 = </w:t>
      </w:r>
      <w:r w:rsidR="0066642A">
        <w:rPr>
          <w:rFonts w:ascii="Calibri" w:hAnsi="Calibri" w:cs="Calibri"/>
          <w:sz w:val="22"/>
          <w:szCs w:val="22"/>
        </w:rPr>
        <w:t>(55/</w:t>
      </w:r>
      <w:r w:rsidR="00695794">
        <w:rPr>
          <w:rFonts w:ascii="Calibri" w:hAnsi="Calibri" w:cs="Calibri"/>
          <w:sz w:val="22"/>
          <w:szCs w:val="22"/>
        </w:rPr>
        <w:t>420) x 365 =</w:t>
      </w:r>
      <w:r w:rsidR="00D54874">
        <w:rPr>
          <w:rFonts w:ascii="Calibri" w:hAnsi="Calibri" w:cs="Calibri"/>
          <w:sz w:val="22"/>
          <w:szCs w:val="22"/>
        </w:rPr>
        <w:t xml:space="preserve"> 47.80</w:t>
      </w:r>
    </w:p>
    <w:p w14:paraId="78F74BD6" w14:textId="77777777" w:rsidR="00D54874" w:rsidRDefault="00D54874" w:rsidP="00C10B18">
      <w:pPr>
        <w:pStyle w:val="ListParagraph"/>
        <w:spacing w:after="0"/>
        <w:ind w:left="1440"/>
        <w:rPr>
          <w:rFonts w:ascii="Calibri" w:hAnsi="Calibri" w:cs="Calibri"/>
          <w:sz w:val="22"/>
          <w:szCs w:val="22"/>
        </w:rPr>
      </w:pPr>
    </w:p>
    <w:p w14:paraId="7A6D8F7C" w14:textId="47405152" w:rsidR="00985BDE" w:rsidRDefault="00D83251" w:rsidP="008B41E3">
      <w:pPr>
        <w:pStyle w:val="ListParagraph"/>
        <w:numPr>
          <w:ilvl w:val="0"/>
          <w:numId w:val="7"/>
        </w:numPr>
        <w:spacing w:after="0"/>
        <w:rPr>
          <w:rFonts w:ascii="Calibri" w:hAnsi="Calibri" w:cs="Calibri"/>
          <w:sz w:val="22"/>
          <w:szCs w:val="22"/>
        </w:rPr>
      </w:pPr>
      <w:r>
        <w:rPr>
          <w:rFonts w:ascii="Calibri" w:hAnsi="Calibri" w:cs="Calibri"/>
          <w:sz w:val="22"/>
          <w:szCs w:val="22"/>
        </w:rPr>
        <w:t xml:space="preserve">Inventory Days rose from 75.52 days from 2020 to 182.50 days in 2025, indicating that inventory </w:t>
      </w:r>
      <w:r w:rsidR="001469EA">
        <w:rPr>
          <w:rFonts w:ascii="Calibri" w:hAnsi="Calibri" w:cs="Calibri"/>
          <w:sz w:val="22"/>
          <w:szCs w:val="22"/>
        </w:rPr>
        <w:t>is significantly</w:t>
      </w:r>
      <w:r w:rsidR="00174551">
        <w:rPr>
          <w:rFonts w:ascii="Calibri" w:hAnsi="Calibri" w:cs="Calibri"/>
          <w:sz w:val="22"/>
          <w:szCs w:val="22"/>
        </w:rPr>
        <w:t xml:space="preserve"> slower. This trend increases like</w:t>
      </w:r>
      <w:r w:rsidR="008958BA">
        <w:rPr>
          <w:rFonts w:ascii="Calibri" w:hAnsi="Calibri" w:cs="Calibri"/>
          <w:sz w:val="22"/>
          <w:szCs w:val="22"/>
        </w:rPr>
        <w:t xml:space="preserve">lihood of working – capital strain and may elevate the risk inventory </w:t>
      </w:r>
      <w:r w:rsidR="009C3B62">
        <w:rPr>
          <w:rFonts w:ascii="Calibri" w:hAnsi="Calibri" w:cs="Calibri"/>
          <w:sz w:val="22"/>
          <w:szCs w:val="22"/>
        </w:rPr>
        <w:t>obsolescence or discounting.</w:t>
      </w:r>
    </w:p>
    <w:p w14:paraId="2BCD4F2E" w14:textId="77777777" w:rsidR="00D54874" w:rsidRDefault="00D54874" w:rsidP="00D54874">
      <w:pPr>
        <w:pStyle w:val="ListParagraph"/>
        <w:spacing w:after="0"/>
        <w:ind w:left="1440"/>
        <w:rPr>
          <w:rFonts w:ascii="Calibri" w:hAnsi="Calibri" w:cs="Calibri"/>
          <w:sz w:val="22"/>
          <w:szCs w:val="22"/>
        </w:rPr>
      </w:pPr>
    </w:p>
    <w:p w14:paraId="4364D54E" w14:textId="49560704" w:rsidR="00D54874" w:rsidRDefault="00A40820" w:rsidP="00D54874">
      <w:pPr>
        <w:pStyle w:val="ListParagraph"/>
        <w:spacing w:after="0"/>
        <w:ind w:left="1440"/>
        <w:rPr>
          <w:rFonts w:ascii="Calibri" w:hAnsi="Calibri" w:cs="Calibri"/>
          <w:sz w:val="22"/>
          <w:szCs w:val="22"/>
        </w:rPr>
      </w:pPr>
      <w:r>
        <w:rPr>
          <w:rFonts w:ascii="Calibri" w:hAnsi="Calibri" w:cs="Calibri"/>
          <w:sz w:val="22"/>
          <w:szCs w:val="22"/>
        </w:rPr>
        <w:t>Inventory days = (</w:t>
      </w:r>
      <w:r w:rsidR="006E1282">
        <w:rPr>
          <w:rFonts w:ascii="Calibri" w:hAnsi="Calibri" w:cs="Calibri"/>
          <w:sz w:val="22"/>
          <w:szCs w:val="22"/>
        </w:rPr>
        <w:t>Inventory</w:t>
      </w:r>
      <w:r w:rsidR="003E5CC1">
        <w:rPr>
          <w:rFonts w:ascii="Calibri" w:hAnsi="Calibri" w:cs="Calibri"/>
          <w:sz w:val="22"/>
          <w:szCs w:val="22"/>
        </w:rPr>
        <w:t>/</w:t>
      </w:r>
      <w:r w:rsidR="004A464F">
        <w:rPr>
          <w:rFonts w:ascii="Calibri" w:hAnsi="Calibri" w:cs="Calibri"/>
          <w:sz w:val="22"/>
          <w:szCs w:val="22"/>
        </w:rPr>
        <w:t>[</w:t>
      </w:r>
      <w:r w:rsidR="003E5CC1">
        <w:rPr>
          <w:rFonts w:ascii="Calibri" w:hAnsi="Calibri" w:cs="Calibri"/>
          <w:sz w:val="22"/>
          <w:szCs w:val="22"/>
        </w:rPr>
        <w:t>COGS</w:t>
      </w:r>
      <w:r w:rsidR="004A464F">
        <w:rPr>
          <w:rFonts w:ascii="Calibri" w:hAnsi="Calibri" w:cs="Calibri"/>
          <w:sz w:val="22"/>
          <w:szCs w:val="22"/>
        </w:rPr>
        <w:t>]</w:t>
      </w:r>
      <w:r w:rsidR="003E5CC1">
        <w:rPr>
          <w:rFonts w:ascii="Calibri" w:hAnsi="Calibri" w:cs="Calibri"/>
          <w:sz w:val="22"/>
          <w:szCs w:val="22"/>
        </w:rPr>
        <w:t>)</w:t>
      </w:r>
      <w:r w:rsidR="00A507BB">
        <w:rPr>
          <w:rFonts w:ascii="Calibri" w:hAnsi="Calibri" w:cs="Calibri"/>
          <w:sz w:val="22"/>
          <w:szCs w:val="22"/>
        </w:rPr>
        <w:t xml:space="preserve"> x 365 = </w:t>
      </w:r>
      <w:r w:rsidR="00A440CC">
        <w:rPr>
          <w:rFonts w:ascii="Calibri" w:hAnsi="Calibri" w:cs="Calibri"/>
          <w:sz w:val="22"/>
          <w:szCs w:val="22"/>
        </w:rPr>
        <w:t>(60/</w:t>
      </w:r>
      <w:r w:rsidR="003E5CC1">
        <w:rPr>
          <w:rFonts w:ascii="Calibri" w:hAnsi="Calibri" w:cs="Calibri"/>
          <w:sz w:val="22"/>
          <w:szCs w:val="22"/>
        </w:rPr>
        <w:t xml:space="preserve"> </w:t>
      </w:r>
      <w:r w:rsidR="00103C3E">
        <w:rPr>
          <w:rFonts w:ascii="Calibri" w:hAnsi="Calibri" w:cs="Calibri"/>
          <w:sz w:val="22"/>
          <w:szCs w:val="22"/>
        </w:rPr>
        <w:t>[-290]</w:t>
      </w:r>
      <w:r w:rsidR="00C819EB">
        <w:rPr>
          <w:rFonts w:ascii="Calibri" w:hAnsi="Calibri" w:cs="Calibri"/>
          <w:sz w:val="22"/>
          <w:szCs w:val="22"/>
        </w:rPr>
        <w:t xml:space="preserve">) </w:t>
      </w:r>
      <w:r w:rsidR="00103C3E">
        <w:rPr>
          <w:rFonts w:ascii="Calibri" w:hAnsi="Calibri" w:cs="Calibri"/>
          <w:sz w:val="22"/>
          <w:szCs w:val="22"/>
        </w:rPr>
        <w:t xml:space="preserve">x 365 = </w:t>
      </w:r>
      <w:r w:rsidR="00DE5378">
        <w:rPr>
          <w:rFonts w:ascii="Calibri" w:hAnsi="Calibri" w:cs="Calibri"/>
          <w:sz w:val="22"/>
          <w:szCs w:val="22"/>
        </w:rPr>
        <w:t>75.52</w:t>
      </w:r>
    </w:p>
    <w:p w14:paraId="00B936E3" w14:textId="77777777" w:rsidR="00592A99" w:rsidRDefault="00592A99" w:rsidP="00D54874">
      <w:pPr>
        <w:pStyle w:val="ListParagraph"/>
        <w:spacing w:after="0"/>
        <w:ind w:left="1440"/>
        <w:rPr>
          <w:rFonts w:ascii="Calibri" w:hAnsi="Calibri" w:cs="Calibri"/>
          <w:sz w:val="22"/>
          <w:szCs w:val="22"/>
        </w:rPr>
      </w:pPr>
    </w:p>
    <w:p w14:paraId="51A6E6A2" w14:textId="77777777" w:rsidR="00B25247" w:rsidRDefault="00BC48D3" w:rsidP="000273AB">
      <w:pPr>
        <w:pStyle w:val="ListParagraph"/>
        <w:numPr>
          <w:ilvl w:val="0"/>
          <w:numId w:val="8"/>
        </w:numPr>
        <w:spacing w:after="0"/>
        <w:rPr>
          <w:rFonts w:ascii="Calibri" w:hAnsi="Calibri" w:cs="Calibri"/>
          <w:sz w:val="22"/>
          <w:szCs w:val="22"/>
        </w:rPr>
      </w:pPr>
      <w:r>
        <w:rPr>
          <w:rFonts w:ascii="Calibri" w:hAnsi="Calibri" w:cs="Calibri"/>
          <w:sz w:val="22"/>
          <w:szCs w:val="22"/>
        </w:rPr>
        <w:t xml:space="preserve">Major trends over time that are </w:t>
      </w:r>
      <w:r w:rsidR="00592A99">
        <w:rPr>
          <w:rFonts w:ascii="Calibri" w:hAnsi="Calibri" w:cs="Calibri"/>
          <w:sz w:val="22"/>
          <w:szCs w:val="22"/>
        </w:rPr>
        <w:t xml:space="preserve">improving, </w:t>
      </w:r>
      <w:r>
        <w:rPr>
          <w:rFonts w:ascii="Calibri" w:hAnsi="Calibri" w:cs="Calibri"/>
          <w:sz w:val="22"/>
          <w:szCs w:val="22"/>
        </w:rPr>
        <w:t>deteriorating,</w:t>
      </w:r>
      <w:r w:rsidR="00592A99">
        <w:rPr>
          <w:rFonts w:ascii="Calibri" w:hAnsi="Calibri" w:cs="Calibri"/>
          <w:sz w:val="22"/>
          <w:szCs w:val="22"/>
        </w:rPr>
        <w:t xml:space="preserve"> </w:t>
      </w:r>
      <w:r w:rsidR="00B25247">
        <w:rPr>
          <w:rFonts w:ascii="Calibri" w:hAnsi="Calibri" w:cs="Calibri"/>
          <w:sz w:val="22"/>
          <w:szCs w:val="22"/>
        </w:rPr>
        <w:t>or volatile are as follows:</w:t>
      </w:r>
    </w:p>
    <w:p w14:paraId="6C054263" w14:textId="77777777" w:rsidR="00B25247" w:rsidRDefault="00B25247" w:rsidP="00B25247">
      <w:pPr>
        <w:pStyle w:val="ListParagraph"/>
        <w:spacing w:after="0"/>
        <w:rPr>
          <w:rFonts w:ascii="Calibri" w:hAnsi="Calibri" w:cs="Calibri"/>
          <w:sz w:val="22"/>
          <w:szCs w:val="22"/>
        </w:rPr>
      </w:pPr>
    </w:p>
    <w:p w14:paraId="2BCFAA8B" w14:textId="57DF1BFB" w:rsidR="00055B53" w:rsidRDefault="00B25247" w:rsidP="00B25247">
      <w:pPr>
        <w:pStyle w:val="ListParagraph"/>
        <w:numPr>
          <w:ilvl w:val="0"/>
          <w:numId w:val="7"/>
        </w:numPr>
        <w:spacing w:after="0"/>
        <w:rPr>
          <w:rFonts w:ascii="Calibri" w:hAnsi="Calibri" w:cs="Calibri"/>
          <w:sz w:val="22"/>
          <w:szCs w:val="22"/>
        </w:rPr>
      </w:pPr>
      <w:r>
        <w:rPr>
          <w:rFonts w:ascii="Calibri" w:hAnsi="Calibri" w:cs="Calibri"/>
          <w:sz w:val="22"/>
          <w:szCs w:val="22"/>
        </w:rPr>
        <w:t xml:space="preserve">The Profitability </w:t>
      </w:r>
      <w:r w:rsidR="006309F1">
        <w:rPr>
          <w:rFonts w:ascii="Calibri" w:hAnsi="Calibri" w:cs="Calibri"/>
          <w:sz w:val="22"/>
          <w:szCs w:val="22"/>
        </w:rPr>
        <w:t>is d</w:t>
      </w:r>
      <w:r w:rsidR="009B3551">
        <w:rPr>
          <w:rFonts w:ascii="Calibri" w:hAnsi="Calibri" w:cs="Calibri"/>
          <w:sz w:val="22"/>
          <w:szCs w:val="22"/>
        </w:rPr>
        <w:t xml:space="preserve">eteriorating, with </w:t>
      </w:r>
      <w:r w:rsidR="007C3E18">
        <w:rPr>
          <w:rFonts w:ascii="Calibri" w:hAnsi="Calibri" w:cs="Calibri"/>
          <w:sz w:val="22"/>
          <w:szCs w:val="22"/>
        </w:rPr>
        <w:t xml:space="preserve">notable </w:t>
      </w:r>
      <w:r w:rsidR="009B3551">
        <w:rPr>
          <w:rFonts w:ascii="Calibri" w:hAnsi="Calibri" w:cs="Calibri"/>
          <w:sz w:val="22"/>
          <w:szCs w:val="22"/>
        </w:rPr>
        <w:t>volatility</w:t>
      </w:r>
      <w:r w:rsidR="00B763C1">
        <w:rPr>
          <w:rFonts w:ascii="Calibri" w:hAnsi="Calibri" w:cs="Calibri"/>
          <w:sz w:val="22"/>
          <w:szCs w:val="22"/>
        </w:rPr>
        <w:t xml:space="preserve">. </w:t>
      </w:r>
      <w:r w:rsidR="007C3E18">
        <w:rPr>
          <w:rFonts w:ascii="Calibri" w:hAnsi="Calibri" w:cs="Calibri"/>
          <w:sz w:val="22"/>
          <w:szCs w:val="22"/>
        </w:rPr>
        <w:t>The significant decline in</w:t>
      </w:r>
      <w:r w:rsidR="001A446B">
        <w:rPr>
          <w:rFonts w:ascii="Calibri" w:hAnsi="Calibri" w:cs="Calibri"/>
          <w:sz w:val="22"/>
          <w:szCs w:val="22"/>
        </w:rPr>
        <w:t xml:space="preserve"> Gross Margin </w:t>
      </w:r>
      <w:r w:rsidR="00AE4812">
        <w:rPr>
          <w:rFonts w:ascii="Calibri" w:hAnsi="Calibri" w:cs="Calibri"/>
          <w:sz w:val="22"/>
          <w:szCs w:val="22"/>
        </w:rPr>
        <w:t xml:space="preserve">indicates </w:t>
      </w:r>
      <w:r w:rsidR="001A446B">
        <w:rPr>
          <w:rFonts w:ascii="Calibri" w:hAnsi="Calibri" w:cs="Calibri"/>
          <w:sz w:val="22"/>
          <w:szCs w:val="22"/>
        </w:rPr>
        <w:t xml:space="preserve">the company is </w:t>
      </w:r>
      <w:r w:rsidR="00AE4812">
        <w:rPr>
          <w:rFonts w:ascii="Calibri" w:hAnsi="Calibri" w:cs="Calibri"/>
          <w:sz w:val="22"/>
          <w:szCs w:val="22"/>
        </w:rPr>
        <w:t>retaining</w:t>
      </w:r>
      <w:r w:rsidR="001A446B">
        <w:rPr>
          <w:rFonts w:ascii="Calibri" w:hAnsi="Calibri" w:cs="Calibri"/>
          <w:sz w:val="22"/>
          <w:szCs w:val="22"/>
        </w:rPr>
        <w:t xml:space="preserve"> less profit per dollar of sales</w:t>
      </w:r>
      <w:r w:rsidR="00AE4812">
        <w:rPr>
          <w:rFonts w:ascii="Calibri" w:hAnsi="Calibri" w:cs="Calibri"/>
          <w:sz w:val="22"/>
          <w:szCs w:val="22"/>
        </w:rPr>
        <w:t>, consistent</w:t>
      </w:r>
      <w:r w:rsidR="007E690C">
        <w:rPr>
          <w:rFonts w:ascii="Calibri" w:hAnsi="Calibri" w:cs="Calibri"/>
          <w:sz w:val="22"/>
          <w:szCs w:val="22"/>
        </w:rPr>
        <w:t xml:space="preserve"> with the</w:t>
      </w:r>
      <w:r w:rsidR="00E12182">
        <w:rPr>
          <w:rFonts w:ascii="Calibri" w:hAnsi="Calibri" w:cs="Calibri"/>
          <w:sz w:val="22"/>
          <w:szCs w:val="22"/>
        </w:rPr>
        <w:t xml:space="preserve"> Cost of Goods</w:t>
      </w:r>
      <w:r w:rsidR="0004011D">
        <w:rPr>
          <w:rFonts w:ascii="Calibri" w:hAnsi="Calibri" w:cs="Calibri"/>
          <w:sz w:val="22"/>
          <w:szCs w:val="22"/>
        </w:rPr>
        <w:t xml:space="preserve"> sold </w:t>
      </w:r>
      <w:r w:rsidR="00A12EF5">
        <w:rPr>
          <w:rFonts w:ascii="Calibri" w:hAnsi="Calibri" w:cs="Calibri"/>
          <w:sz w:val="22"/>
          <w:szCs w:val="22"/>
        </w:rPr>
        <w:t>increasing faster</w:t>
      </w:r>
      <w:r w:rsidR="003E2A2C">
        <w:rPr>
          <w:rFonts w:ascii="Calibri" w:hAnsi="Calibri" w:cs="Calibri"/>
          <w:sz w:val="22"/>
          <w:szCs w:val="22"/>
        </w:rPr>
        <w:t xml:space="preserve"> than the revenue</w:t>
      </w:r>
      <w:r w:rsidR="00462A07">
        <w:rPr>
          <w:rFonts w:ascii="Calibri" w:hAnsi="Calibri" w:cs="Calibri"/>
          <w:sz w:val="22"/>
          <w:szCs w:val="22"/>
        </w:rPr>
        <w:t xml:space="preserve"> and/or weakening pricing power</w:t>
      </w:r>
      <w:r w:rsidR="003E2A2C">
        <w:rPr>
          <w:rFonts w:ascii="Calibri" w:hAnsi="Calibri" w:cs="Calibri"/>
          <w:sz w:val="22"/>
          <w:szCs w:val="22"/>
        </w:rPr>
        <w:t xml:space="preserve">. </w:t>
      </w:r>
      <w:r w:rsidR="00025962">
        <w:rPr>
          <w:rFonts w:ascii="Calibri" w:hAnsi="Calibri" w:cs="Calibri"/>
          <w:sz w:val="22"/>
          <w:szCs w:val="22"/>
        </w:rPr>
        <w:t xml:space="preserve">As this happen, </w:t>
      </w:r>
      <w:r w:rsidR="00613A39">
        <w:rPr>
          <w:rFonts w:ascii="Calibri" w:hAnsi="Calibri" w:cs="Calibri"/>
          <w:sz w:val="22"/>
          <w:szCs w:val="22"/>
        </w:rPr>
        <w:t>it reduces the gross profit “buffer”</w:t>
      </w:r>
      <w:r w:rsidR="00CB7DB6">
        <w:rPr>
          <w:rFonts w:ascii="Calibri" w:hAnsi="Calibri" w:cs="Calibri"/>
          <w:sz w:val="22"/>
          <w:szCs w:val="22"/>
        </w:rPr>
        <w:t xml:space="preserve"> </w:t>
      </w:r>
      <w:r w:rsidR="00613A39">
        <w:rPr>
          <w:rFonts w:ascii="Calibri" w:hAnsi="Calibri" w:cs="Calibri"/>
          <w:sz w:val="22"/>
          <w:szCs w:val="22"/>
        </w:rPr>
        <w:t>availabl</w:t>
      </w:r>
      <w:r w:rsidR="00CB7DB6">
        <w:rPr>
          <w:rFonts w:ascii="Calibri" w:hAnsi="Calibri" w:cs="Calibri"/>
          <w:sz w:val="22"/>
          <w:szCs w:val="22"/>
        </w:rPr>
        <w:t xml:space="preserve">e to </w:t>
      </w:r>
      <w:r w:rsidR="00E02E38">
        <w:rPr>
          <w:rFonts w:ascii="Calibri" w:hAnsi="Calibri" w:cs="Calibri"/>
          <w:sz w:val="22"/>
          <w:szCs w:val="22"/>
        </w:rPr>
        <w:t>cover for the company’s SG &amp;A</w:t>
      </w:r>
      <w:r w:rsidR="00A20C6F">
        <w:rPr>
          <w:rFonts w:ascii="Calibri" w:hAnsi="Calibri" w:cs="Calibri"/>
          <w:sz w:val="22"/>
          <w:szCs w:val="22"/>
        </w:rPr>
        <w:t>, interest and taxes.</w:t>
      </w:r>
      <w:r w:rsidR="007E714D">
        <w:rPr>
          <w:rFonts w:ascii="Calibri" w:hAnsi="Calibri" w:cs="Calibri"/>
          <w:sz w:val="22"/>
          <w:szCs w:val="22"/>
        </w:rPr>
        <w:t xml:space="preserve"> </w:t>
      </w:r>
      <w:r w:rsidR="008A7396">
        <w:rPr>
          <w:rFonts w:ascii="Calibri" w:hAnsi="Calibri" w:cs="Calibri"/>
          <w:sz w:val="22"/>
          <w:szCs w:val="22"/>
        </w:rPr>
        <w:t>Also,</w:t>
      </w:r>
      <w:r w:rsidR="00F36F2E">
        <w:rPr>
          <w:rFonts w:ascii="Calibri" w:hAnsi="Calibri" w:cs="Calibri"/>
          <w:sz w:val="22"/>
          <w:szCs w:val="22"/>
        </w:rPr>
        <w:t xml:space="preserve"> with</w:t>
      </w:r>
      <w:r w:rsidR="008A7396">
        <w:rPr>
          <w:rFonts w:ascii="Calibri" w:hAnsi="Calibri" w:cs="Calibri"/>
          <w:sz w:val="22"/>
          <w:szCs w:val="22"/>
        </w:rPr>
        <w:t xml:space="preserve"> the operating margin </w:t>
      </w:r>
      <w:r w:rsidR="005D7B49">
        <w:rPr>
          <w:rFonts w:ascii="Calibri" w:hAnsi="Calibri" w:cs="Calibri"/>
          <w:sz w:val="22"/>
          <w:szCs w:val="22"/>
        </w:rPr>
        <w:t>decline</w:t>
      </w:r>
      <w:r w:rsidR="00F36F2E">
        <w:rPr>
          <w:rFonts w:ascii="Calibri" w:hAnsi="Calibri" w:cs="Calibri"/>
          <w:sz w:val="22"/>
          <w:szCs w:val="22"/>
        </w:rPr>
        <w:t xml:space="preserve"> means </w:t>
      </w:r>
      <w:r w:rsidR="00F36F2E">
        <w:rPr>
          <w:rFonts w:ascii="Calibri" w:hAnsi="Calibri" w:cs="Calibri"/>
          <w:sz w:val="22"/>
          <w:szCs w:val="22"/>
        </w:rPr>
        <w:lastRenderedPageBreak/>
        <w:t>even after managing the operating expenses, the company’s core operations</w:t>
      </w:r>
      <w:r w:rsidR="00D7288F">
        <w:rPr>
          <w:rFonts w:ascii="Calibri" w:hAnsi="Calibri" w:cs="Calibri"/>
          <w:sz w:val="22"/>
          <w:szCs w:val="22"/>
        </w:rPr>
        <w:t xml:space="preserve"> generate less profit per dollar value. In 2024, the spike in </w:t>
      </w:r>
      <w:r w:rsidR="00AB548A">
        <w:rPr>
          <w:rFonts w:ascii="Calibri" w:hAnsi="Calibri" w:cs="Calibri"/>
          <w:sz w:val="22"/>
          <w:szCs w:val="22"/>
        </w:rPr>
        <w:t>the operating margin</w:t>
      </w:r>
      <w:r w:rsidR="006C0904">
        <w:rPr>
          <w:rFonts w:ascii="Calibri" w:hAnsi="Calibri" w:cs="Calibri"/>
          <w:sz w:val="22"/>
          <w:szCs w:val="22"/>
        </w:rPr>
        <w:t xml:space="preserve"> to 14%</w:t>
      </w:r>
      <w:r w:rsidR="00AB548A">
        <w:rPr>
          <w:rFonts w:ascii="Calibri" w:hAnsi="Calibri" w:cs="Calibri"/>
          <w:sz w:val="22"/>
          <w:szCs w:val="22"/>
        </w:rPr>
        <w:t xml:space="preserve"> suggest</w:t>
      </w:r>
      <w:r w:rsidR="006C0904">
        <w:rPr>
          <w:rFonts w:ascii="Calibri" w:hAnsi="Calibri" w:cs="Calibri"/>
          <w:sz w:val="22"/>
          <w:szCs w:val="22"/>
        </w:rPr>
        <w:t>s</w:t>
      </w:r>
      <w:r w:rsidR="00AB548A">
        <w:rPr>
          <w:rFonts w:ascii="Calibri" w:hAnsi="Calibri" w:cs="Calibri"/>
          <w:sz w:val="22"/>
          <w:szCs w:val="22"/>
        </w:rPr>
        <w:t xml:space="preserve"> a </w:t>
      </w:r>
      <w:r w:rsidR="006C0904">
        <w:rPr>
          <w:rFonts w:ascii="Calibri" w:hAnsi="Calibri" w:cs="Calibri"/>
          <w:sz w:val="22"/>
          <w:szCs w:val="22"/>
        </w:rPr>
        <w:t>one-time</w:t>
      </w:r>
      <w:r w:rsidR="00AB548A">
        <w:rPr>
          <w:rFonts w:ascii="Calibri" w:hAnsi="Calibri" w:cs="Calibri"/>
          <w:sz w:val="22"/>
          <w:szCs w:val="22"/>
        </w:rPr>
        <w:t xml:space="preserve"> cost improvement</w:t>
      </w:r>
      <w:r w:rsidR="00130098">
        <w:rPr>
          <w:rFonts w:ascii="Calibri" w:hAnsi="Calibri" w:cs="Calibri"/>
          <w:sz w:val="22"/>
          <w:szCs w:val="22"/>
        </w:rPr>
        <w:t>, however the sudden sharp drop to 3%</w:t>
      </w:r>
      <w:r w:rsidR="00EC1FA2">
        <w:rPr>
          <w:rFonts w:ascii="Calibri" w:hAnsi="Calibri" w:cs="Calibri"/>
          <w:sz w:val="22"/>
          <w:szCs w:val="22"/>
        </w:rPr>
        <w:t xml:space="preserve"> indicate</w:t>
      </w:r>
      <w:r w:rsidR="00C75F7D">
        <w:rPr>
          <w:rFonts w:ascii="Calibri" w:hAnsi="Calibri" w:cs="Calibri"/>
          <w:sz w:val="22"/>
          <w:szCs w:val="22"/>
        </w:rPr>
        <w:t>s</w:t>
      </w:r>
      <w:r w:rsidR="00EC1FA2">
        <w:rPr>
          <w:rFonts w:ascii="Calibri" w:hAnsi="Calibri" w:cs="Calibri"/>
          <w:sz w:val="22"/>
          <w:szCs w:val="22"/>
        </w:rPr>
        <w:t xml:space="preserve"> volatility rather than a stable improvement.</w:t>
      </w:r>
      <w:r w:rsidR="00F90B3A">
        <w:rPr>
          <w:rFonts w:ascii="Calibri" w:hAnsi="Calibri" w:cs="Calibri"/>
          <w:sz w:val="22"/>
          <w:szCs w:val="22"/>
        </w:rPr>
        <w:t xml:space="preserve"> </w:t>
      </w:r>
      <w:r w:rsidR="003344FC">
        <w:rPr>
          <w:rFonts w:ascii="Calibri" w:hAnsi="Calibri" w:cs="Calibri"/>
          <w:sz w:val="22"/>
          <w:szCs w:val="22"/>
        </w:rPr>
        <w:t xml:space="preserve">Finally, it is also a major flag when </w:t>
      </w:r>
      <w:r w:rsidR="004419D1">
        <w:rPr>
          <w:rFonts w:ascii="Calibri" w:hAnsi="Calibri" w:cs="Calibri"/>
          <w:sz w:val="22"/>
          <w:szCs w:val="22"/>
        </w:rPr>
        <w:t>ROA turned negative</w:t>
      </w:r>
      <w:r w:rsidR="005421E3">
        <w:rPr>
          <w:rFonts w:ascii="Calibri" w:hAnsi="Calibri" w:cs="Calibri"/>
          <w:sz w:val="22"/>
          <w:szCs w:val="22"/>
        </w:rPr>
        <w:t>, from 7.11% in 2020 to -1.32% in 2025.</w:t>
      </w:r>
      <w:r w:rsidR="00502572">
        <w:rPr>
          <w:rFonts w:ascii="Calibri" w:hAnsi="Calibri" w:cs="Calibri"/>
          <w:sz w:val="22"/>
          <w:szCs w:val="22"/>
        </w:rPr>
        <w:t xml:space="preserve"> This means that the company’s assets such as Cash, Inventory, PPE</w:t>
      </w:r>
      <w:r w:rsidR="00753712">
        <w:rPr>
          <w:rFonts w:ascii="Calibri" w:hAnsi="Calibri" w:cs="Calibri"/>
          <w:sz w:val="22"/>
          <w:szCs w:val="22"/>
        </w:rPr>
        <w:t xml:space="preserve"> are no longer generating positive returns. </w:t>
      </w:r>
      <w:r w:rsidR="00C35518">
        <w:rPr>
          <w:rFonts w:ascii="Calibri" w:hAnsi="Calibri" w:cs="Calibri"/>
          <w:sz w:val="22"/>
          <w:szCs w:val="22"/>
        </w:rPr>
        <w:t>The Maple Leaf LLC business appears to tie up resources but not convert them into sustainable profit.</w:t>
      </w:r>
    </w:p>
    <w:p w14:paraId="25D7277A" w14:textId="77777777" w:rsidR="00E04CC7" w:rsidRDefault="00E04CC7" w:rsidP="00E04CC7">
      <w:pPr>
        <w:spacing w:after="0"/>
        <w:rPr>
          <w:rFonts w:ascii="Calibri" w:hAnsi="Calibri" w:cs="Calibri"/>
          <w:sz w:val="22"/>
          <w:szCs w:val="22"/>
        </w:rPr>
      </w:pPr>
    </w:p>
    <w:p w14:paraId="6FE77B21" w14:textId="65811326" w:rsidR="00E04CC7" w:rsidRDefault="000A0250" w:rsidP="00E04CC7">
      <w:pPr>
        <w:pStyle w:val="ListParagraph"/>
        <w:numPr>
          <w:ilvl w:val="0"/>
          <w:numId w:val="7"/>
        </w:numPr>
        <w:spacing w:after="0"/>
        <w:rPr>
          <w:rFonts w:ascii="Calibri" w:hAnsi="Calibri" w:cs="Calibri"/>
          <w:sz w:val="22"/>
          <w:szCs w:val="22"/>
        </w:rPr>
      </w:pPr>
      <w:r w:rsidRPr="000A0250">
        <w:rPr>
          <w:rFonts w:ascii="Calibri" w:hAnsi="Calibri" w:cs="Calibri"/>
          <w:sz w:val="22"/>
          <w:szCs w:val="22"/>
        </w:rPr>
        <w:t>Liquidity is deteriorating. The current ratio remains above 1.0 but declines from 1.89 (2020) to 1.70 (2025), indicating that while current assets still exceed current liabilities, the short-term financial cushion is narrowing. The quick ratio declines more sharply from 1.11 to 0.73, signaling reduced immediate liquidity because near-cash resources (cash and receivables) are increasingly insufficient to cover short-term obligations without relying on inventory conversion or additional financing. This pattern is consistent with growing working-capital strain and weaker short-term flexibility.</w:t>
      </w:r>
    </w:p>
    <w:p w14:paraId="2C923377" w14:textId="77777777" w:rsidR="00A32B9C" w:rsidRPr="00A32B9C" w:rsidRDefault="00A32B9C" w:rsidP="00A32B9C">
      <w:pPr>
        <w:pStyle w:val="ListParagraph"/>
        <w:rPr>
          <w:rFonts w:ascii="Calibri" w:hAnsi="Calibri" w:cs="Calibri"/>
          <w:sz w:val="22"/>
          <w:szCs w:val="22"/>
        </w:rPr>
      </w:pPr>
    </w:p>
    <w:p w14:paraId="196E03BD" w14:textId="797D59B3" w:rsidR="00A32B9C" w:rsidRDefault="00A32B9C" w:rsidP="00E04CC7">
      <w:pPr>
        <w:pStyle w:val="ListParagraph"/>
        <w:numPr>
          <w:ilvl w:val="0"/>
          <w:numId w:val="7"/>
        </w:numPr>
        <w:spacing w:after="0"/>
        <w:rPr>
          <w:rFonts w:ascii="Calibri" w:hAnsi="Calibri" w:cs="Calibri"/>
          <w:sz w:val="22"/>
          <w:szCs w:val="22"/>
        </w:rPr>
      </w:pPr>
      <w:r w:rsidRPr="00A32B9C">
        <w:rPr>
          <w:rFonts w:ascii="Calibri" w:hAnsi="Calibri" w:cs="Calibri"/>
          <w:sz w:val="22"/>
          <w:szCs w:val="22"/>
        </w:rPr>
        <w:t>Solvency is deteriorating. Debt-to-equity increases from 0.58 (2020) to 1.09 (2025), reflecting rising leverage and a greater dependence on debt financing relative to shareholder equity. This increases financial risk, particularly in a period of weakening profitability. Interest coverage declines from 5.25x to 0.69x, and the 2025 value below 1.0 indicates operating income is insufficient to cover interest expense. Although coverage improves temporarily in 2024 (4.56x), the sharp decline in 2025 suggests elevated debt-servicing pressure and heightened risk of refinancing constraints or financial distress.</w:t>
      </w:r>
    </w:p>
    <w:p w14:paraId="418B4081" w14:textId="77777777" w:rsidR="00B31D21" w:rsidRPr="00B31D21" w:rsidRDefault="00B31D21" w:rsidP="00B31D21">
      <w:pPr>
        <w:pStyle w:val="ListParagraph"/>
        <w:rPr>
          <w:rFonts w:ascii="Calibri" w:hAnsi="Calibri" w:cs="Calibri"/>
          <w:sz w:val="22"/>
          <w:szCs w:val="22"/>
        </w:rPr>
      </w:pPr>
    </w:p>
    <w:p w14:paraId="468398D7" w14:textId="317D5134" w:rsidR="00B31D21" w:rsidRDefault="00B31D21" w:rsidP="00E04CC7">
      <w:pPr>
        <w:pStyle w:val="ListParagraph"/>
        <w:numPr>
          <w:ilvl w:val="0"/>
          <w:numId w:val="7"/>
        </w:numPr>
        <w:spacing w:after="0"/>
        <w:rPr>
          <w:rFonts w:ascii="Calibri" w:hAnsi="Calibri" w:cs="Calibri"/>
          <w:sz w:val="22"/>
          <w:szCs w:val="22"/>
        </w:rPr>
      </w:pPr>
      <w:r w:rsidRPr="00B31D21">
        <w:rPr>
          <w:rFonts w:ascii="Calibri" w:hAnsi="Calibri" w:cs="Calibri"/>
          <w:sz w:val="22"/>
          <w:szCs w:val="22"/>
        </w:rPr>
        <w:t>Operational efficiency deteriorates materially. Days sales outstanding (DSO) rises from 47.80 to 112.54 days, indicating substantially slower collections and increasing cash tied up in receivables. Inventory days increases from 75.52 to 182.50, suggesting significantly slower inventory turnover and heightened working-capital requirements, with added risk of markdowns or obsolescence. Asset turnover declines from 1.11 to 0.79, indicating reduced efficiency in generating revenue from the asset base. Together, these trends reflect a weakening cash conversion cycle and declining operational effectiveness.</w:t>
      </w:r>
    </w:p>
    <w:p w14:paraId="489B5023" w14:textId="77777777" w:rsidR="00635DBD" w:rsidRPr="00635DBD" w:rsidRDefault="00635DBD" w:rsidP="00635DBD">
      <w:pPr>
        <w:pStyle w:val="ListParagraph"/>
        <w:rPr>
          <w:rFonts w:ascii="Calibri" w:hAnsi="Calibri" w:cs="Calibri"/>
          <w:sz w:val="22"/>
          <w:szCs w:val="22"/>
        </w:rPr>
      </w:pPr>
    </w:p>
    <w:p w14:paraId="41A095B0" w14:textId="1C814395" w:rsidR="00635DBD" w:rsidRDefault="0008796A" w:rsidP="00E04CC7">
      <w:pPr>
        <w:pStyle w:val="ListParagraph"/>
        <w:numPr>
          <w:ilvl w:val="0"/>
          <w:numId w:val="7"/>
        </w:numPr>
        <w:spacing w:after="0"/>
        <w:rPr>
          <w:rFonts w:ascii="Calibri" w:hAnsi="Calibri" w:cs="Calibri"/>
          <w:sz w:val="22"/>
          <w:szCs w:val="22"/>
        </w:rPr>
      </w:pPr>
      <w:r>
        <w:rPr>
          <w:rFonts w:ascii="Calibri" w:hAnsi="Calibri" w:cs="Calibri"/>
          <w:sz w:val="22"/>
          <w:szCs w:val="22"/>
        </w:rPr>
        <w:t>While the company showed temporary improvement such as the Debt-to-Equity</w:t>
      </w:r>
      <w:r w:rsidR="00B67BD3">
        <w:rPr>
          <w:rFonts w:ascii="Calibri" w:hAnsi="Calibri" w:cs="Calibri"/>
          <w:sz w:val="22"/>
          <w:szCs w:val="22"/>
        </w:rPr>
        <w:t>’s</w:t>
      </w:r>
      <w:r w:rsidR="00804E80">
        <w:rPr>
          <w:rFonts w:ascii="Calibri" w:hAnsi="Calibri" w:cs="Calibri"/>
          <w:sz w:val="22"/>
          <w:szCs w:val="22"/>
        </w:rPr>
        <w:t xml:space="preserve"> slight drop from 2023’s </w:t>
      </w:r>
      <w:r w:rsidR="00511E3E">
        <w:rPr>
          <w:rFonts w:ascii="Calibri" w:hAnsi="Calibri" w:cs="Calibri"/>
          <w:sz w:val="22"/>
          <w:szCs w:val="22"/>
        </w:rPr>
        <w:t xml:space="preserve">1.02 to 0.97 in 2024, </w:t>
      </w:r>
      <w:r w:rsidR="00B67BD3">
        <w:rPr>
          <w:rFonts w:ascii="Calibri" w:hAnsi="Calibri" w:cs="Calibri"/>
          <w:sz w:val="22"/>
          <w:szCs w:val="22"/>
        </w:rPr>
        <w:t>signifying</w:t>
      </w:r>
      <w:r w:rsidR="00511E3E">
        <w:rPr>
          <w:rFonts w:ascii="Calibri" w:hAnsi="Calibri" w:cs="Calibri"/>
          <w:sz w:val="22"/>
          <w:szCs w:val="22"/>
        </w:rPr>
        <w:t xml:space="preserve"> equity grew faster than debt that year</w:t>
      </w:r>
      <w:r w:rsidR="005F5D90">
        <w:rPr>
          <w:rFonts w:ascii="Calibri" w:hAnsi="Calibri" w:cs="Calibri"/>
          <w:sz w:val="22"/>
          <w:szCs w:val="22"/>
        </w:rPr>
        <w:t xml:space="preserve"> which temporary reduced leverage, however with the overall 2020-2025 </w:t>
      </w:r>
      <w:r w:rsidR="00DF2816">
        <w:rPr>
          <w:rFonts w:ascii="Calibri" w:hAnsi="Calibri" w:cs="Calibri"/>
          <w:sz w:val="22"/>
          <w:szCs w:val="22"/>
        </w:rPr>
        <w:t>company performance remained to declined</w:t>
      </w:r>
      <w:r w:rsidR="00B67BD3">
        <w:rPr>
          <w:rFonts w:ascii="Calibri" w:hAnsi="Calibri" w:cs="Calibri"/>
          <w:sz w:val="22"/>
          <w:szCs w:val="22"/>
        </w:rPr>
        <w:t xml:space="preserve"> suggests that gains were not sustained.</w:t>
      </w:r>
    </w:p>
    <w:p w14:paraId="781D188E" w14:textId="77777777" w:rsidR="00A84E66" w:rsidRPr="00A84E66" w:rsidRDefault="00A84E66" w:rsidP="00A84E66">
      <w:pPr>
        <w:pStyle w:val="ListParagraph"/>
        <w:rPr>
          <w:rFonts w:ascii="Calibri" w:hAnsi="Calibri" w:cs="Calibri"/>
          <w:sz w:val="22"/>
          <w:szCs w:val="22"/>
        </w:rPr>
      </w:pPr>
    </w:p>
    <w:p w14:paraId="6695B621" w14:textId="1166DC1F" w:rsidR="005B37C2" w:rsidRDefault="004F2B44" w:rsidP="00A84E66">
      <w:pPr>
        <w:pStyle w:val="ListParagraph"/>
        <w:numPr>
          <w:ilvl w:val="0"/>
          <w:numId w:val="8"/>
        </w:numPr>
        <w:spacing w:after="0"/>
        <w:rPr>
          <w:rFonts w:ascii="Calibri" w:hAnsi="Calibri" w:cs="Calibri"/>
          <w:sz w:val="22"/>
          <w:szCs w:val="22"/>
        </w:rPr>
      </w:pPr>
      <w:r w:rsidRPr="0062281B">
        <w:rPr>
          <w:rFonts w:ascii="Calibri" w:hAnsi="Calibri" w:cs="Calibri"/>
          <w:sz w:val="22"/>
          <w:szCs w:val="22"/>
        </w:rPr>
        <w:t xml:space="preserve">Based on my above analysis, Maple Leaf LLC </w:t>
      </w:r>
      <w:r w:rsidR="00F6434A" w:rsidRPr="0062281B">
        <w:rPr>
          <w:rFonts w:ascii="Calibri" w:hAnsi="Calibri" w:cs="Calibri"/>
          <w:sz w:val="22"/>
          <w:szCs w:val="22"/>
        </w:rPr>
        <w:t xml:space="preserve">does not reflect or appear to be a financially healthy company by year 2025. </w:t>
      </w:r>
      <w:r w:rsidR="0062281B" w:rsidRPr="0062281B">
        <w:rPr>
          <w:rFonts w:ascii="Calibri" w:hAnsi="Calibri" w:cs="Calibri"/>
          <w:sz w:val="22"/>
          <w:szCs w:val="22"/>
        </w:rPr>
        <w:t xml:space="preserve">The most decisive evidence is the combination of negative ROA (−1.32%) and interest coverage below 1 (0.69x), which indicates weakened profitability and inadequate </w:t>
      </w:r>
      <w:r w:rsidR="0062281B" w:rsidRPr="0062281B">
        <w:rPr>
          <w:rFonts w:ascii="Calibri" w:hAnsi="Calibri" w:cs="Calibri"/>
          <w:sz w:val="22"/>
          <w:szCs w:val="22"/>
        </w:rPr>
        <w:lastRenderedPageBreak/>
        <w:t>operating capacity to service debt.</w:t>
      </w:r>
      <w:r w:rsidR="00AF5CE4">
        <w:rPr>
          <w:rFonts w:ascii="Calibri" w:hAnsi="Calibri" w:cs="Calibri"/>
          <w:sz w:val="22"/>
          <w:szCs w:val="22"/>
        </w:rPr>
        <w:t xml:space="preserve"> Another concern is the w</w:t>
      </w:r>
      <w:r w:rsidR="00AF5CE4" w:rsidRPr="00AF5CE4">
        <w:rPr>
          <w:rFonts w:ascii="Calibri" w:hAnsi="Calibri" w:cs="Calibri"/>
          <w:sz w:val="22"/>
          <w:szCs w:val="22"/>
        </w:rPr>
        <w:t>orking-capital efficiency feeding solvency risk. DSO (112.54 days) and inventory days (182.50 days) show cash is increasingly trapped in operations, while interest coverage suggests the firm has limited room to absorb financing costs. This is a high-risk mix because operational cash strain often forces additional borrowing at the worst time.</w:t>
      </w:r>
    </w:p>
    <w:p w14:paraId="18DC1C18" w14:textId="77777777" w:rsidR="00B254D1" w:rsidRDefault="00B254D1" w:rsidP="00B254D1">
      <w:pPr>
        <w:spacing w:after="0"/>
        <w:ind w:left="360"/>
        <w:rPr>
          <w:rFonts w:ascii="Calibri" w:hAnsi="Calibri" w:cs="Calibri"/>
          <w:sz w:val="22"/>
          <w:szCs w:val="22"/>
        </w:rPr>
      </w:pPr>
    </w:p>
    <w:p w14:paraId="401C4566" w14:textId="35487953" w:rsidR="00C819EB" w:rsidRDefault="00C819EB" w:rsidP="00B254D1">
      <w:pPr>
        <w:spacing w:after="0"/>
        <w:ind w:left="360"/>
        <w:rPr>
          <w:rFonts w:ascii="Calibri" w:hAnsi="Calibri" w:cs="Calibri"/>
          <w:sz w:val="22"/>
          <w:szCs w:val="22"/>
        </w:rPr>
      </w:pPr>
      <w:r>
        <w:rPr>
          <w:rFonts w:ascii="Calibri" w:hAnsi="Calibri" w:cs="Calibri"/>
          <w:sz w:val="22"/>
          <w:szCs w:val="22"/>
        </w:rPr>
        <w:t xml:space="preserve">Q2. </w:t>
      </w:r>
      <w:r w:rsidR="007F16B4">
        <w:rPr>
          <w:rFonts w:ascii="Calibri" w:hAnsi="Calibri" w:cs="Calibri"/>
          <w:sz w:val="22"/>
          <w:szCs w:val="22"/>
        </w:rPr>
        <w:t>I</w:t>
      </w:r>
      <w:r w:rsidRPr="00C819EB">
        <w:rPr>
          <w:rFonts w:ascii="Calibri" w:hAnsi="Calibri" w:cs="Calibri"/>
          <w:sz w:val="22"/>
          <w:szCs w:val="22"/>
        </w:rPr>
        <w:t>dentification of Anomalies and Limitations of Ratio Analysis</w:t>
      </w:r>
    </w:p>
    <w:p w14:paraId="546039B1" w14:textId="77777777" w:rsidR="002E002B" w:rsidRDefault="002E002B" w:rsidP="00B254D1">
      <w:pPr>
        <w:spacing w:after="0"/>
        <w:ind w:left="360"/>
        <w:rPr>
          <w:rFonts w:ascii="Calibri" w:hAnsi="Calibri" w:cs="Calibri"/>
          <w:sz w:val="22"/>
          <w:szCs w:val="22"/>
        </w:rPr>
      </w:pPr>
    </w:p>
    <w:p w14:paraId="231382CD" w14:textId="5D6C77EF" w:rsidR="002E002B" w:rsidRDefault="002E002B" w:rsidP="00B254D1">
      <w:pPr>
        <w:spacing w:after="0"/>
        <w:ind w:left="360"/>
        <w:rPr>
          <w:rFonts w:ascii="Calibri" w:hAnsi="Calibri" w:cs="Calibri"/>
          <w:sz w:val="22"/>
          <w:szCs w:val="22"/>
        </w:rPr>
      </w:pPr>
      <w:r>
        <w:rPr>
          <w:rFonts w:ascii="Calibri" w:hAnsi="Calibri" w:cs="Calibri"/>
          <w:sz w:val="22"/>
          <w:szCs w:val="22"/>
        </w:rPr>
        <w:t>A deeper review of the Maple Leaf LLC’s financial statements reveals several anomalies that raise concerns about data integrity</w:t>
      </w:r>
      <w:r w:rsidR="00AB070E">
        <w:rPr>
          <w:rFonts w:ascii="Calibri" w:hAnsi="Calibri" w:cs="Calibri"/>
          <w:sz w:val="22"/>
          <w:szCs w:val="22"/>
        </w:rPr>
        <w:t xml:space="preserve">, earnings quality, and the reliability of ratio-based conclusions. These issues become evident only when the income statement, balance sheet, and the cash flow statement </w:t>
      </w:r>
      <w:r w:rsidR="004617C6">
        <w:rPr>
          <w:rFonts w:ascii="Calibri" w:hAnsi="Calibri" w:cs="Calibri"/>
          <w:sz w:val="22"/>
          <w:szCs w:val="22"/>
        </w:rPr>
        <w:t>were examined together highlighting why ratio analysis must be supplemented with cross -statement validation and professional skepticism.</w:t>
      </w:r>
    </w:p>
    <w:p w14:paraId="79F3F88D" w14:textId="77777777" w:rsidR="00DA5FF4" w:rsidRDefault="00DA5FF4" w:rsidP="00B254D1">
      <w:pPr>
        <w:spacing w:after="0"/>
        <w:ind w:left="360"/>
        <w:rPr>
          <w:rFonts w:ascii="Calibri" w:hAnsi="Calibri" w:cs="Calibri"/>
          <w:sz w:val="22"/>
          <w:szCs w:val="22"/>
        </w:rPr>
      </w:pPr>
    </w:p>
    <w:p w14:paraId="6BBEB6FC" w14:textId="6E74561A" w:rsidR="00DA5FF4" w:rsidRDefault="00DA5FF4" w:rsidP="00DA5FF4">
      <w:pPr>
        <w:pStyle w:val="ListParagraph"/>
        <w:numPr>
          <w:ilvl w:val="0"/>
          <w:numId w:val="9"/>
        </w:numPr>
        <w:spacing w:after="0"/>
        <w:rPr>
          <w:rFonts w:ascii="Calibri" w:hAnsi="Calibri" w:cs="Calibri"/>
          <w:sz w:val="22"/>
          <w:szCs w:val="22"/>
        </w:rPr>
      </w:pPr>
      <w:r>
        <w:rPr>
          <w:rFonts w:ascii="Calibri" w:hAnsi="Calibri" w:cs="Calibri"/>
          <w:sz w:val="22"/>
          <w:szCs w:val="22"/>
        </w:rPr>
        <w:t xml:space="preserve">Profits not converting into Cash </w:t>
      </w:r>
    </w:p>
    <w:p w14:paraId="415EB559" w14:textId="77777777" w:rsidR="00D42CF4" w:rsidRDefault="00D42CF4" w:rsidP="00D42CF4">
      <w:pPr>
        <w:pStyle w:val="ListParagraph"/>
        <w:spacing w:after="0"/>
        <w:rPr>
          <w:rFonts w:ascii="Calibri" w:hAnsi="Calibri" w:cs="Calibri"/>
          <w:sz w:val="22"/>
          <w:szCs w:val="22"/>
        </w:rPr>
      </w:pPr>
    </w:p>
    <w:tbl>
      <w:tblPr>
        <w:tblW w:w="5000" w:type="pct"/>
        <w:tblLook w:val="04A0" w:firstRow="1" w:lastRow="0" w:firstColumn="1" w:lastColumn="0" w:noHBand="0" w:noVBand="1"/>
      </w:tblPr>
      <w:tblGrid>
        <w:gridCol w:w="2868"/>
        <w:gridCol w:w="3615"/>
        <w:gridCol w:w="2867"/>
      </w:tblGrid>
      <w:tr w:rsidR="00AF1FDB" w:rsidRPr="00AF1FDB" w14:paraId="20444E81" w14:textId="77777777" w:rsidTr="00AF1FDB">
        <w:trPr>
          <w:trHeight w:val="300"/>
        </w:trPr>
        <w:tc>
          <w:tcPr>
            <w:tcW w:w="1533" w:type="pct"/>
            <w:tcBorders>
              <w:top w:val="single" w:sz="4" w:space="0" w:color="auto"/>
              <w:left w:val="single" w:sz="4" w:space="0" w:color="auto"/>
              <w:bottom w:val="single" w:sz="4" w:space="0" w:color="auto"/>
              <w:right w:val="single" w:sz="4" w:space="0" w:color="auto"/>
            </w:tcBorders>
            <w:shd w:val="clear" w:color="000000" w:fill="CAEDFB"/>
            <w:vAlign w:val="center"/>
            <w:hideMark/>
          </w:tcPr>
          <w:p w14:paraId="67AEB9ED" w14:textId="77777777" w:rsidR="00AF1FDB" w:rsidRPr="00AF1FDB" w:rsidRDefault="00AF1FDB" w:rsidP="00AF1FDB">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F1FDB">
              <w:rPr>
                <w:rFonts w:ascii="Aptos Narrow" w:eastAsia="Times New Roman" w:hAnsi="Aptos Narrow" w:cs="Times New Roman"/>
                <w:b/>
                <w:bCs/>
                <w:color w:val="000000"/>
                <w:kern w:val="0"/>
                <w:sz w:val="22"/>
                <w:szCs w:val="22"/>
                <w:lang w:eastAsia="en-CA"/>
                <w14:ligatures w14:val="none"/>
              </w:rPr>
              <w:t>Where It Appears</w:t>
            </w:r>
          </w:p>
        </w:tc>
        <w:tc>
          <w:tcPr>
            <w:tcW w:w="1933" w:type="pct"/>
            <w:tcBorders>
              <w:top w:val="single" w:sz="4" w:space="0" w:color="auto"/>
              <w:left w:val="nil"/>
              <w:bottom w:val="single" w:sz="4" w:space="0" w:color="auto"/>
              <w:right w:val="single" w:sz="4" w:space="0" w:color="auto"/>
            </w:tcBorders>
            <w:shd w:val="clear" w:color="000000" w:fill="CAEDFB"/>
            <w:vAlign w:val="center"/>
            <w:hideMark/>
          </w:tcPr>
          <w:p w14:paraId="351F963C" w14:textId="77777777" w:rsidR="00AF1FDB" w:rsidRPr="00AF1FDB" w:rsidRDefault="00AF1FDB" w:rsidP="00AF1FDB">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F1FDB">
              <w:rPr>
                <w:rFonts w:ascii="Aptos Narrow" w:eastAsia="Times New Roman" w:hAnsi="Aptos Narrow" w:cs="Times New Roman"/>
                <w:b/>
                <w:bCs/>
                <w:color w:val="000000"/>
                <w:kern w:val="0"/>
                <w:sz w:val="22"/>
                <w:szCs w:val="22"/>
                <w:lang w:eastAsia="en-CA"/>
                <w14:ligatures w14:val="none"/>
              </w:rPr>
              <w:t>Why It Is Problematic (Financial/Accounting Risk)</w:t>
            </w:r>
          </w:p>
        </w:tc>
        <w:tc>
          <w:tcPr>
            <w:tcW w:w="1533" w:type="pct"/>
            <w:tcBorders>
              <w:top w:val="single" w:sz="4" w:space="0" w:color="auto"/>
              <w:left w:val="nil"/>
              <w:bottom w:val="single" w:sz="4" w:space="0" w:color="auto"/>
              <w:right w:val="single" w:sz="4" w:space="0" w:color="auto"/>
            </w:tcBorders>
            <w:shd w:val="clear" w:color="000000" w:fill="CAEDFB"/>
            <w:vAlign w:val="center"/>
            <w:hideMark/>
          </w:tcPr>
          <w:p w14:paraId="17D34D2C" w14:textId="77777777" w:rsidR="00AF1FDB" w:rsidRPr="00AF1FDB" w:rsidRDefault="00AF1FDB" w:rsidP="00AF1FDB">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F1FDB">
              <w:rPr>
                <w:rFonts w:ascii="Aptos Narrow" w:eastAsia="Times New Roman" w:hAnsi="Aptos Narrow" w:cs="Times New Roman"/>
                <w:b/>
                <w:bCs/>
                <w:color w:val="000000"/>
                <w:kern w:val="0"/>
                <w:sz w:val="22"/>
                <w:szCs w:val="22"/>
                <w:lang w:eastAsia="en-CA"/>
                <w14:ligatures w14:val="none"/>
              </w:rPr>
              <w:t>Why Ratio Analysis Alone Misleads</w:t>
            </w:r>
          </w:p>
        </w:tc>
      </w:tr>
      <w:tr w:rsidR="00AF1FDB" w:rsidRPr="00AF1FDB" w14:paraId="418F485A" w14:textId="77777777" w:rsidTr="00AF1FDB">
        <w:trPr>
          <w:trHeight w:val="1840"/>
        </w:trPr>
        <w:tc>
          <w:tcPr>
            <w:tcW w:w="1533" w:type="pct"/>
            <w:tcBorders>
              <w:top w:val="nil"/>
              <w:left w:val="single" w:sz="4" w:space="0" w:color="auto"/>
              <w:bottom w:val="single" w:sz="4" w:space="0" w:color="auto"/>
              <w:right w:val="single" w:sz="4" w:space="0" w:color="auto"/>
            </w:tcBorders>
            <w:vAlign w:val="center"/>
            <w:hideMark/>
          </w:tcPr>
          <w:p w14:paraId="77846335" w14:textId="77777777" w:rsidR="00AF1FDB" w:rsidRPr="00AF1FDB" w:rsidRDefault="00AF1FDB" w:rsidP="00AF1FDB">
            <w:pPr>
              <w:spacing w:after="0" w:line="240" w:lineRule="auto"/>
              <w:rPr>
                <w:rFonts w:ascii="Aptos Narrow" w:eastAsia="Times New Roman" w:hAnsi="Aptos Narrow" w:cs="Times New Roman"/>
                <w:color w:val="000000"/>
                <w:kern w:val="0"/>
                <w:sz w:val="22"/>
                <w:szCs w:val="22"/>
                <w:lang w:eastAsia="en-CA"/>
                <w14:ligatures w14:val="none"/>
              </w:rPr>
            </w:pPr>
            <w:r w:rsidRPr="00AF1FDB">
              <w:rPr>
                <w:rFonts w:ascii="Aptos Narrow" w:eastAsia="Times New Roman" w:hAnsi="Aptos Narrow" w:cs="Times New Roman"/>
                <w:color w:val="000000"/>
                <w:kern w:val="0"/>
                <w:sz w:val="22"/>
                <w:szCs w:val="22"/>
                <w:lang w:eastAsia="en-CA"/>
                <w14:ligatures w14:val="none"/>
              </w:rPr>
              <w:t>IS vs. CFS: Net income positive in 2021–2023, but CFO = 2, –20, –35</w:t>
            </w:r>
          </w:p>
        </w:tc>
        <w:tc>
          <w:tcPr>
            <w:tcW w:w="1933" w:type="pct"/>
            <w:tcBorders>
              <w:top w:val="nil"/>
              <w:left w:val="nil"/>
              <w:bottom w:val="single" w:sz="4" w:space="0" w:color="auto"/>
              <w:right w:val="single" w:sz="4" w:space="0" w:color="auto"/>
            </w:tcBorders>
            <w:vAlign w:val="center"/>
            <w:hideMark/>
          </w:tcPr>
          <w:p w14:paraId="2CDED8DF" w14:textId="69AD97C1" w:rsidR="00AF1FDB" w:rsidRPr="00AF1FDB" w:rsidRDefault="00AF1FDB" w:rsidP="00AF1FDB">
            <w:pPr>
              <w:spacing w:after="0" w:line="240" w:lineRule="auto"/>
              <w:rPr>
                <w:rFonts w:ascii="Aptos Narrow" w:eastAsia="Times New Roman" w:hAnsi="Aptos Narrow" w:cs="Times New Roman"/>
                <w:color w:val="000000"/>
                <w:kern w:val="0"/>
                <w:sz w:val="22"/>
                <w:szCs w:val="22"/>
                <w:lang w:eastAsia="en-CA"/>
                <w14:ligatures w14:val="none"/>
              </w:rPr>
            </w:pPr>
            <w:r w:rsidRPr="00AF1FDB">
              <w:rPr>
                <w:rFonts w:ascii="Aptos Narrow" w:eastAsia="Times New Roman" w:hAnsi="Aptos Narrow" w:cs="Times New Roman"/>
                <w:color w:val="000000"/>
                <w:kern w:val="0"/>
                <w:sz w:val="22"/>
                <w:szCs w:val="22"/>
                <w:lang w:eastAsia="en-CA"/>
                <w14:ligatures w14:val="none"/>
              </w:rPr>
              <w:t>Indicates revenue not collected in cash</w:t>
            </w:r>
            <w:r>
              <w:rPr>
                <w:rFonts w:ascii="Aptos Narrow" w:eastAsia="Times New Roman" w:hAnsi="Aptos Narrow" w:cs="Times New Roman"/>
                <w:color w:val="000000"/>
                <w:kern w:val="0"/>
                <w:sz w:val="22"/>
                <w:szCs w:val="22"/>
                <w:lang w:eastAsia="en-CA"/>
                <w14:ligatures w14:val="none"/>
              </w:rPr>
              <w:t xml:space="preserve">, </w:t>
            </w:r>
            <w:r w:rsidRPr="00AF1FDB">
              <w:rPr>
                <w:rFonts w:ascii="Aptos Narrow" w:eastAsia="Times New Roman" w:hAnsi="Aptos Narrow" w:cs="Times New Roman"/>
                <w:color w:val="000000"/>
                <w:kern w:val="0"/>
                <w:sz w:val="22"/>
                <w:szCs w:val="22"/>
                <w:lang w:eastAsia="en-CA"/>
                <w14:ligatures w14:val="none"/>
              </w:rPr>
              <w:t>operations are consuming cash suggests aggressive revenue recognition or poor working</w:t>
            </w:r>
            <w:r w:rsidRPr="00AF1FDB">
              <w:rPr>
                <w:rFonts w:ascii="Aptos Narrow" w:eastAsia="Times New Roman" w:hAnsi="Aptos Narrow" w:cs="Times New Roman"/>
                <w:color w:val="000000"/>
                <w:kern w:val="0"/>
                <w:sz w:val="22"/>
                <w:szCs w:val="22"/>
                <w:lang w:eastAsia="en-CA"/>
                <w14:ligatures w14:val="none"/>
              </w:rPr>
              <w:noBreakHyphen/>
              <w:t>capital management</w:t>
            </w:r>
          </w:p>
        </w:tc>
        <w:tc>
          <w:tcPr>
            <w:tcW w:w="1533" w:type="pct"/>
            <w:tcBorders>
              <w:top w:val="nil"/>
              <w:left w:val="nil"/>
              <w:bottom w:val="single" w:sz="4" w:space="0" w:color="auto"/>
              <w:right w:val="single" w:sz="4" w:space="0" w:color="auto"/>
            </w:tcBorders>
            <w:vAlign w:val="center"/>
            <w:hideMark/>
          </w:tcPr>
          <w:p w14:paraId="7C32BD26" w14:textId="77777777" w:rsidR="00AF1FDB" w:rsidRPr="00AF1FDB" w:rsidRDefault="00AF1FDB" w:rsidP="00AF1FDB">
            <w:pPr>
              <w:spacing w:after="0" w:line="240" w:lineRule="auto"/>
              <w:rPr>
                <w:rFonts w:ascii="Aptos Narrow" w:eastAsia="Times New Roman" w:hAnsi="Aptos Narrow" w:cs="Times New Roman"/>
                <w:color w:val="000000"/>
                <w:kern w:val="0"/>
                <w:sz w:val="22"/>
                <w:szCs w:val="22"/>
                <w:lang w:eastAsia="en-CA"/>
                <w14:ligatures w14:val="none"/>
              </w:rPr>
            </w:pPr>
            <w:r w:rsidRPr="00AF1FDB">
              <w:rPr>
                <w:rFonts w:ascii="Aptos Narrow" w:eastAsia="Times New Roman" w:hAnsi="Aptos Narrow" w:cs="Times New Roman"/>
                <w:color w:val="000000"/>
                <w:kern w:val="0"/>
                <w:sz w:val="22"/>
                <w:szCs w:val="22"/>
                <w:lang w:eastAsia="en-CA"/>
                <w14:ligatures w14:val="none"/>
              </w:rPr>
              <w:t>Profitability ratios appear acceptable, masking the fact that the business is not self</w:t>
            </w:r>
            <w:r w:rsidRPr="00AF1FDB">
              <w:rPr>
                <w:rFonts w:ascii="Aptos Narrow" w:eastAsia="Times New Roman" w:hAnsi="Aptos Narrow" w:cs="Times New Roman"/>
                <w:color w:val="000000"/>
                <w:kern w:val="0"/>
                <w:sz w:val="22"/>
                <w:szCs w:val="22"/>
                <w:lang w:eastAsia="en-CA"/>
                <w14:ligatures w14:val="none"/>
              </w:rPr>
              <w:noBreakHyphen/>
              <w:t>funding</w:t>
            </w:r>
          </w:p>
        </w:tc>
      </w:tr>
    </w:tbl>
    <w:p w14:paraId="72FDCA9C" w14:textId="77777777" w:rsidR="006D4BFD" w:rsidRPr="006D4BFD" w:rsidRDefault="006D4BFD" w:rsidP="006D4BFD">
      <w:pPr>
        <w:spacing w:after="0"/>
        <w:ind w:left="360"/>
        <w:rPr>
          <w:rFonts w:ascii="Calibri" w:hAnsi="Calibri" w:cs="Calibri"/>
          <w:sz w:val="22"/>
          <w:szCs w:val="22"/>
        </w:rPr>
      </w:pPr>
    </w:p>
    <w:p w14:paraId="405FEFAD" w14:textId="77777777" w:rsidR="00643A2B" w:rsidRPr="00643A2B" w:rsidRDefault="00643A2B" w:rsidP="00643A2B">
      <w:pPr>
        <w:spacing w:after="0"/>
        <w:ind w:left="360"/>
        <w:rPr>
          <w:rFonts w:ascii="Calibri" w:hAnsi="Calibri" w:cs="Calibri"/>
          <w:sz w:val="22"/>
          <w:szCs w:val="22"/>
        </w:rPr>
      </w:pPr>
      <w:r w:rsidRPr="00643A2B">
        <w:rPr>
          <w:rFonts w:ascii="Calibri" w:hAnsi="Calibri" w:cs="Calibri"/>
          <w:sz w:val="22"/>
          <w:szCs w:val="22"/>
        </w:rPr>
        <w:t>Although Maple Leaf reports positive net income in 2021–2023 (26, 25, and 17 million), cash from operations is almost nonexistent or negative (2, –20, –35 million). This pattern indicates that earnings are being generated through accruals rather than cash collection. The primary driver is the significant expansion in receivables and inventory, which absorbs cash and undermines the reliability of reported profits.</w:t>
      </w:r>
    </w:p>
    <w:p w14:paraId="3B7A8708" w14:textId="77777777" w:rsidR="00643A2B" w:rsidRPr="00643A2B" w:rsidRDefault="00643A2B" w:rsidP="00643A2B">
      <w:pPr>
        <w:spacing w:after="0"/>
        <w:ind w:left="360"/>
        <w:rPr>
          <w:rFonts w:ascii="Calibri" w:hAnsi="Calibri" w:cs="Calibri"/>
          <w:sz w:val="22"/>
          <w:szCs w:val="22"/>
        </w:rPr>
      </w:pPr>
    </w:p>
    <w:p w14:paraId="45C90CD8" w14:textId="6E5A30E9" w:rsidR="0079196A" w:rsidRDefault="00643A2B" w:rsidP="00643A2B">
      <w:pPr>
        <w:spacing w:after="0"/>
        <w:ind w:left="360"/>
        <w:rPr>
          <w:rFonts w:ascii="Calibri" w:hAnsi="Calibri" w:cs="Calibri"/>
          <w:sz w:val="22"/>
          <w:szCs w:val="22"/>
        </w:rPr>
      </w:pPr>
      <w:r w:rsidRPr="00643A2B">
        <w:rPr>
          <w:rFonts w:ascii="Calibri" w:hAnsi="Calibri" w:cs="Calibri"/>
          <w:sz w:val="22"/>
          <w:szCs w:val="22"/>
        </w:rPr>
        <w:t>This issue is not visible through profitability ratios alone</w:t>
      </w:r>
      <w:r>
        <w:rPr>
          <w:rFonts w:ascii="Calibri" w:hAnsi="Calibri" w:cs="Calibri"/>
          <w:sz w:val="22"/>
          <w:szCs w:val="22"/>
        </w:rPr>
        <w:t xml:space="preserve"> such </w:t>
      </w:r>
      <w:r w:rsidR="003B70F3">
        <w:rPr>
          <w:rFonts w:ascii="Calibri" w:hAnsi="Calibri" w:cs="Calibri"/>
          <w:sz w:val="22"/>
          <w:szCs w:val="22"/>
        </w:rPr>
        <w:t xml:space="preserve">as </w:t>
      </w:r>
      <w:r w:rsidRPr="00643A2B">
        <w:rPr>
          <w:rFonts w:ascii="Calibri" w:hAnsi="Calibri" w:cs="Calibri"/>
          <w:sz w:val="22"/>
          <w:szCs w:val="22"/>
        </w:rPr>
        <w:t>gross margin, operating margin, and ROA remain positive through 2024, creating the impression of a viable business. Only by reconciling the income statement with the cash flow statement does it become clear that the firm’s operations are not self</w:t>
      </w:r>
      <w:r w:rsidRPr="00643A2B">
        <w:rPr>
          <w:rFonts w:ascii="Cambria Math" w:hAnsi="Cambria Math" w:cs="Cambria Math"/>
          <w:sz w:val="22"/>
          <w:szCs w:val="22"/>
        </w:rPr>
        <w:t>‑</w:t>
      </w:r>
      <w:r w:rsidRPr="00643A2B">
        <w:rPr>
          <w:rFonts w:ascii="Calibri" w:hAnsi="Calibri" w:cs="Calibri"/>
          <w:sz w:val="22"/>
          <w:szCs w:val="22"/>
        </w:rPr>
        <w:t>funding and that earnings quality is deteriorating.</w:t>
      </w:r>
      <w:r w:rsidR="0079196A">
        <w:rPr>
          <w:rFonts w:ascii="Calibri" w:hAnsi="Calibri" w:cs="Calibri"/>
          <w:sz w:val="22"/>
          <w:szCs w:val="22"/>
        </w:rPr>
        <w:br/>
      </w:r>
    </w:p>
    <w:p w14:paraId="656D5E44" w14:textId="5D32CE74" w:rsidR="00026262" w:rsidRDefault="0079196A" w:rsidP="0079196A">
      <w:pPr>
        <w:rPr>
          <w:rFonts w:ascii="Calibri" w:hAnsi="Calibri" w:cs="Calibri"/>
          <w:sz w:val="22"/>
          <w:szCs w:val="22"/>
        </w:rPr>
      </w:pPr>
      <w:r>
        <w:rPr>
          <w:rFonts w:ascii="Calibri" w:hAnsi="Calibri" w:cs="Calibri"/>
          <w:sz w:val="22"/>
          <w:szCs w:val="22"/>
        </w:rPr>
        <w:br w:type="page"/>
      </w:r>
    </w:p>
    <w:p w14:paraId="5DF6C796" w14:textId="3C97972E" w:rsidR="00026262" w:rsidRDefault="0079196A" w:rsidP="00026262">
      <w:pPr>
        <w:pStyle w:val="ListParagraph"/>
        <w:numPr>
          <w:ilvl w:val="0"/>
          <w:numId w:val="9"/>
        </w:numPr>
        <w:spacing w:after="0"/>
        <w:rPr>
          <w:rFonts w:ascii="Calibri" w:hAnsi="Calibri" w:cs="Calibri"/>
          <w:sz w:val="22"/>
          <w:szCs w:val="22"/>
        </w:rPr>
      </w:pPr>
      <w:r>
        <w:rPr>
          <w:rFonts w:ascii="Calibri" w:hAnsi="Calibri" w:cs="Calibri"/>
          <w:sz w:val="22"/>
          <w:szCs w:val="22"/>
        </w:rPr>
        <w:lastRenderedPageBreak/>
        <w:t xml:space="preserve">The </w:t>
      </w:r>
      <w:r w:rsidR="00D17D1B">
        <w:rPr>
          <w:rFonts w:ascii="Calibri" w:hAnsi="Calibri" w:cs="Calibri"/>
          <w:sz w:val="22"/>
          <w:szCs w:val="22"/>
        </w:rPr>
        <w:t>W</w:t>
      </w:r>
      <w:r>
        <w:rPr>
          <w:rFonts w:ascii="Calibri" w:hAnsi="Calibri" w:cs="Calibri"/>
          <w:sz w:val="22"/>
          <w:szCs w:val="22"/>
        </w:rPr>
        <w:t xml:space="preserve">orking capital is expanding faster than the Revenue </w:t>
      </w:r>
    </w:p>
    <w:p w14:paraId="5AD52364" w14:textId="77777777" w:rsidR="0031749A" w:rsidRDefault="0031749A" w:rsidP="0031749A">
      <w:pPr>
        <w:pStyle w:val="ListParagraph"/>
        <w:spacing w:after="0"/>
        <w:rPr>
          <w:rFonts w:ascii="Calibri" w:hAnsi="Calibri" w:cs="Calibri"/>
          <w:sz w:val="22"/>
          <w:szCs w:val="22"/>
        </w:rPr>
      </w:pPr>
    </w:p>
    <w:tbl>
      <w:tblPr>
        <w:tblW w:w="5000" w:type="pct"/>
        <w:tblLook w:val="04A0" w:firstRow="1" w:lastRow="0" w:firstColumn="1" w:lastColumn="0" w:noHBand="0" w:noVBand="1"/>
      </w:tblPr>
      <w:tblGrid>
        <w:gridCol w:w="2868"/>
        <w:gridCol w:w="3615"/>
        <w:gridCol w:w="2867"/>
      </w:tblGrid>
      <w:tr w:rsidR="005A5D01" w:rsidRPr="005A5D01" w14:paraId="24EB3DB1" w14:textId="77777777" w:rsidTr="0031749A">
        <w:trPr>
          <w:trHeight w:val="300"/>
        </w:trPr>
        <w:tc>
          <w:tcPr>
            <w:tcW w:w="1533" w:type="pct"/>
            <w:tcBorders>
              <w:top w:val="single" w:sz="4" w:space="0" w:color="auto"/>
              <w:left w:val="single" w:sz="4" w:space="0" w:color="auto"/>
              <w:bottom w:val="single" w:sz="4" w:space="0" w:color="auto"/>
              <w:right w:val="single" w:sz="4" w:space="0" w:color="auto"/>
            </w:tcBorders>
            <w:shd w:val="clear" w:color="000000" w:fill="CAEDFB"/>
            <w:vAlign w:val="center"/>
            <w:hideMark/>
          </w:tcPr>
          <w:p w14:paraId="668D29A0" w14:textId="77777777" w:rsidR="005A5D01" w:rsidRPr="005A5D01" w:rsidRDefault="005A5D01" w:rsidP="005A5D01">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5A5D01">
              <w:rPr>
                <w:rFonts w:ascii="Aptos Narrow" w:eastAsia="Times New Roman" w:hAnsi="Aptos Narrow" w:cs="Times New Roman"/>
                <w:b/>
                <w:bCs/>
                <w:color w:val="000000"/>
                <w:kern w:val="0"/>
                <w:sz w:val="22"/>
                <w:szCs w:val="22"/>
                <w:lang w:eastAsia="en-CA"/>
                <w14:ligatures w14:val="none"/>
              </w:rPr>
              <w:t>Where It Appears</w:t>
            </w:r>
          </w:p>
        </w:tc>
        <w:tc>
          <w:tcPr>
            <w:tcW w:w="1933" w:type="pct"/>
            <w:tcBorders>
              <w:top w:val="single" w:sz="4" w:space="0" w:color="auto"/>
              <w:left w:val="nil"/>
              <w:bottom w:val="single" w:sz="4" w:space="0" w:color="auto"/>
              <w:right w:val="single" w:sz="4" w:space="0" w:color="auto"/>
            </w:tcBorders>
            <w:shd w:val="clear" w:color="000000" w:fill="CAEDFB"/>
            <w:vAlign w:val="center"/>
            <w:hideMark/>
          </w:tcPr>
          <w:p w14:paraId="5082C6C0" w14:textId="77777777" w:rsidR="005A5D01" w:rsidRPr="005A5D01" w:rsidRDefault="005A5D01" w:rsidP="005A5D01">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5A5D01">
              <w:rPr>
                <w:rFonts w:ascii="Aptos Narrow" w:eastAsia="Times New Roman" w:hAnsi="Aptos Narrow" w:cs="Times New Roman"/>
                <w:b/>
                <w:bCs/>
                <w:color w:val="000000"/>
                <w:kern w:val="0"/>
                <w:sz w:val="22"/>
                <w:szCs w:val="22"/>
                <w:lang w:eastAsia="en-CA"/>
                <w14:ligatures w14:val="none"/>
              </w:rPr>
              <w:t>Why It Is Problematic (Financial/Accounting Risk)</w:t>
            </w:r>
          </w:p>
        </w:tc>
        <w:tc>
          <w:tcPr>
            <w:tcW w:w="1533" w:type="pct"/>
            <w:tcBorders>
              <w:top w:val="single" w:sz="4" w:space="0" w:color="auto"/>
              <w:left w:val="nil"/>
              <w:bottom w:val="single" w:sz="4" w:space="0" w:color="auto"/>
              <w:right w:val="single" w:sz="4" w:space="0" w:color="auto"/>
            </w:tcBorders>
            <w:shd w:val="clear" w:color="000000" w:fill="CAEDFB"/>
            <w:vAlign w:val="center"/>
            <w:hideMark/>
          </w:tcPr>
          <w:p w14:paraId="440F959B" w14:textId="77777777" w:rsidR="005A5D01" w:rsidRPr="005A5D01" w:rsidRDefault="005A5D01" w:rsidP="005A5D01">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5A5D01">
              <w:rPr>
                <w:rFonts w:ascii="Aptos Narrow" w:eastAsia="Times New Roman" w:hAnsi="Aptos Narrow" w:cs="Times New Roman"/>
                <w:b/>
                <w:bCs/>
                <w:color w:val="000000"/>
                <w:kern w:val="0"/>
                <w:sz w:val="22"/>
                <w:szCs w:val="22"/>
                <w:lang w:eastAsia="en-CA"/>
                <w14:ligatures w14:val="none"/>
              </w:rPr>
              <w:t>Why Ratio Analysis Alone Misleads</w:t>
            </w:r>
          </w:p>
        </w:tc>
      </w:tr>
      <w:tr w:rsidR="005A5D01" w:rsidRPr="005A5D01" w14:paraId="221FC4BC" w14:textId="77777777" w:rsidTr="0031749A">
        <w:trPr>
          <w:trHeight w:val="1547"/>
        </w:trPr>
        <w:tc>
          <w:tcPr>
            <w:tcW w:w="1533" w:type="pct"/>
            <w:tcBorders>
              <w:top w:val="nil"/>
              <w:left w:val="single" w:sz="4" w:space="0" w:color="auto"/>
              <w:bottom w:val="single" w:sz="4" w:space="0" w:color="auto"/>
              <w:right w:val="single" w:sz="4" w:space="0" w:color="auto"/>
            </w:tcBorders>
            <w:vAlign w:val="center"/>
            <w:hideMark/>
          </w:tcPr>
          <w:p w14:paraId="6FAA75BB" w14:textId="77777777" w:rsidR="005A5D01" w:rsidRPr="005A5D01" w:rsidRDefault="005A5D01" w:rsidP="005A5D01">
            <w:pPr>
              <w:spacing w:after="0" w:line="240" w:lineRule="auto"/>
              <w:rPr>
                <w:rFonts w:ascii="Aptos Narrow" w:eastAsia="Times New Roman" w:hAnsi="Aptos Narrow" w:cs="Times New Roman"/>
                <w:color w:val="000000"/>
                <w:kern w:val="0"/>
                <w:sz w:val="22"/>
                <w:szCs w:val="22"/>
                <w:lang w:eastAsia="en-CA"/>
                <w14:ligatures w14:val="none"/>
              </w:rPr>
            </w:pPr>
            <w:r w:rsidRPr="005A5D01">
              <w:rPr>
                <w:rFonts w:ascii="Aptos Narrow" w:eastAsia="Times New Roman" w:hAnsi="Aptos Narrow" w:cs="Times New Roman"/>
                <w:color w:val="000000"/>
                <w:kern w:val="0"/>
                <w:sz w:val="22"/>
                <w:szCs w:val="22"/>
                <w:lang w:eastAsia="en-CA"/>
                <w14:ligatures w14:val="none"/>
              </w:rPr>
              <w:t>AR +236%, Inventory +292% vs. Revenue +43%; DSO and inventory days more than double</w:t>
            </w:r>
          </w:p>
        </w:tc>
        <w:tc>
          <w:tcPr>
            <w:tcW w:w="1933" w:type="pct"/>
            <w:tcBorders>
              <w:top w:val="nil"/>
              <w:left w:val="nil"/>
              <w:bottom w:val="single" w:sz="4" w:space="0" w:color="auto"/>
              <w:right w:val="single" w:sz="4" w:space="0" w:color="auto"/>
            </w:tcBorders>
            <w:vAlign w:val="center"/>
            <w:hideMark/>
          </w:tcPr>
          <w:p w14:paraId="79737D3E" w14:textId="77777777" w:rsidR="005A5D01" w:rsidRPr="005A5D01" w:rsidRDefault="005A5D01" w:rsidP="005A5D01">
            <w:pPr>
              <w:spacing w:after="0" w:line="240" w:lineRule="auto"/>
              <w:rPr>
                <w:rFonts w:ascii="Aptos Narrow" w:eastAsia="Times New Roman" w:hAnsi="Aptos Narrow" w:cs="Times New Roman"/>
                <w:color w:val="000000"/>
                <w:kern w:val="0"/>
                <w:sz w:val="22"/>
                <w:szCs w:val="22"/>
                <w:lang w:eastAsia="en-CA"/>
                <w14:ligatures w14:val="none"/>
              </w:rPr>
            </w:pPr>
            <w:r w:rsidRPr="005A5D01">
              <w:rPr>
                <w:rFonts w:ascii="Aptos Narrow" w:eastAsia="Times New Roman" w:hAnsi="Aptos Narrow" w:cs="Times New Roman"/>
                <w:color w:val="000000"/>
                <w:kern w:val="0"/>
                <w:sz w:val="22"/>
                <w:szCs w:val="22"/>
                <w:lang w:eastAsia="en-CA"/>
                <w14:ligatures w14:val="none"/>
              </w:rPr>
              <w:t>Signals deteriorating credit discipline, overproduction, or demand misalignment; traps cash and increases liquidity risk</w:t>
            </w:r>
          </w:p>
        </w:tc>
        <w:tc>
          <w:tcPr>
            <w:tcW w:w="1533" w:type="pct"/>
            <w:tcBorders>
              <w:top w:val="nil"/>
              <w:left w:val="nil"/>
              <w:bottom w:val="single" w:sz="4" w:space="0" w:color="auto"/>
              <w:right w:val="single" w:sz="4" w:space="0" w:color="auto"/>
            </w:tcBorders>
            <w:vAlign w:val="center"/>
            <w:hideMark/>
          </w:tcPr>
          <w:p w14:paraId="5E98AC88" w14:textId="77777777" w:rsidR="005A5D01" w:rsidRPr="005A5D01" w:rsidRDefault="005A5D01" w:rsidP="005A5D01">
            <w:pPr>
              <w:spacing w:after="0" w:line="240" w:lineRule="auto"/>
              <w:rPr>
                <w:rFonts w:ascii="Aptos Narrow" w:eastAsia="Times New Roman" w:hAnsi="Aptos Narrow" w:cs="Times New Roman"/>
                <w:color w:val="000000"/>
                <w:kern w:val="0"/>
                <w:sz w:val="22"/>
                <w:szCs w:val="22"/>
                <w:lang w:eastAsia="en-CA"/>
                <w14:ligatures w14:val="none"/>
              </w:rPr>
            </w:pPr>
            <w:r w:rsidRPr="005A5D01">
              <w:rPr>
                <w:rFonts w:ascii="Aptos Narrow" w:eastAsia="Times New Roman" w:hAnsi="Aptos Narrow" w:cs="Times New Roman"/>
                <w:color w:val="000000"/>
                <w:kern w:val="0"/>
                <w:sz w:val="22"/>
                <w:szCs w:val="22"/>
                <w:lang w:eastAsia="en-CA"/>
                <w14:ligatures w14:val="none"/>
              </w:rPr>
              <w:t>Efficiency ratios show deterioration but cannot explain underlying operational or accounting drivers</w:t>
            </w:r>
          </w:p>
        </w:tc>
      </w:tr>
    </w:tbl>
    <w:p w14:paraId="56873236" w14:textId="77777777" w:rsidR="0079196A" w:rsidRDefault="0079196A" w:rsidP="0079196A">
      <w:pPr>
        <w:pStyle w:val="ListParagraph"/>
        <w:spacing w:after="0"/>
        <w:rPr>
          <w:rFonts w:ascii="Calibri" w:hAnsi="Calibri" w:cs="Calibri"/>
          <w:sz w:val="22"/>
          <w:szCs w:val="22"/>
        </w:rPr>
      </w:pPr>
    </w:p>
    <w:p w14:paraId="672DC67C" w14:textId="42A09DD8" w:rsidR="0079196A" w:rsidRPr="0079196A" w:rsidRDefault="00F25B51" w:rsidP="0079196A">
      <w:pPr>
        <w:spacing w:after="0"/>
        <w:rPr>
          <w:rFonts w:ascii="Calibri" w:hAnsi="Calibri" w:cs="Calibri"/>
          <w:sz w:val="22"/>
          <w:szCs w:val="22"/>
        </w:rPr>
      </w:pPr>
      <w:r w:rsidRPr="00F25B51">
        <w:rPr>
          <w:rFonts w:ascii="Calibri" w:hAnsi="Calibri" w:cs="Calibri"/>
          <w:sz w:val="22"/>
          <w:szCs w:val="22"/>
        </w:rPr>
        <w:t>Accounts receivable and inventory expand at multiples of revenue growth, reflected in sharply rising DSO and inventory days. This pattern points to operational strain</w:t>
      </w:r>
      <w:r w:rsidR="003F3903">
        <w:rPr>
          <w:rFonts w:ascii="Calibri" w:hAnsi="Calibri" w:cs="Calibri"/>
          <w:sz w:val="22"/>
          <w:szCs w:val="22"/>
        </w:rPr>
        <w:t xml:space="preserve"> showing </w:t>
      </w:r>
      <w:r w:rsidRPr="00F25B51">
        <w:rPr>
          <w:rFonts w:ascii="Calibri" w:hAnsi="Calibri" w:cs="Calibri"/>
          <w:sz w:val="22"/>
          <w:szCs w:val="22"/>
        </w:rPr>
        <w:t>slow collections, excess production, or weak demand forecasting. It also explains the negative CFO. Efficiency ratios highlight deterioration but cannot distinguish between operational issues, strategic decisions, or potential revenue</w:t>
      </w:r>
      <w:r w:rsidRPr="00F25B51">
        <w:rPr>
          <w:rFonts w:ascii="Cambria Math" w:hAnsi="Cambria Math" w:cs="Cambria Math"/>
          <w:sz w:val="22"/>
          <w:szCs w:val="22"/>
        </w:rPr>
        <w:t>‑</w:t>
      </w:r>
      <w:r w:rsidRPr="00F25B51">
        <w:rPr>
          <w:rFonts w:ascii="Calibri" w:hAnsi="Calibri" w:cs="Calibri"/>
          <w:sz w:val="22"/>
          <w:szCs w:val="22"/>
        </w:rPr>
        <w:t>recognition concerns.</w:t>
      </w:r>
    </w:p>
    <w:p w14:paraId="54B62BE6" w14:textId="77777777" w:rsidR="004617C6" w:rsidRDefault="004617C6" w:rsidP="00B254D1">
      <w:pPr>
        <w:spacing w:after="0"/>
        <w:ind w:left="360"/>
        <w:rPr>
          <w:rFonts w:ascii="Calibri" w:hAnsi="Calibri" w:cs="Calibri"/>
          <w:sz w:val="22"/>
          <w:szCs w:val="22"/>
        </w:rPr>
      </w:pPr>
    </w:p>
    <w:p w14:paraId="64495C6B" w14:textId="02F18455" w:rsidR="00FE04A6" w:rsidRDefault="00E52F25" w:rsidP="00FE04A6">
      <w:pPr>
        <w:pStyle w:val="ListParagraph"/>
        <w:numPr>
          <w:ilvl w:val="0"/>
          <w:numId w:val="9"/>
        </w:numPr>
        <w:spacing w:after="0"/>
        <w:rPr>
          <w:rFonts w:ascii="Calibri" w:hAnsi="Calibri" w:cs="Calibri"/>
          <w:sz w:val="22"/>
          <w:szCs w:val="22"/>
        </w:rPr>
      </w:pPr>
      <w:r>
        <w:rPr>
          <w:rFonts w:ascii="Calibri" w:hAnsi="Calibri" w:cs="Calibri"/>
          <w:sz w:val="22"/>
          <w:szCs w:val="22"/>
        </w:rPr>
        <w:t>Rising leverage and Declining Debt- Servicing Capacity</w:t>
      </w:r>
    </w:p>
    <w:p w14:paraId="321BD3C5" w14:textId="77777777" w:rsidR="00E52F25" w:rsidRDefault="00E52F25" w:rsidP="00E52F25">
      <w:pPr>
        <w:pStyle w:val="ListParagraph"/>
        <w:spacing w:after="0"/>
        <w:rPr>
          <w:rFonts w:ascii="Calibri" w:hAnsi="Calibri" w:cs="Calibri"/>
          <w:sz w:val="22"/>
          <w:szCs w:val="22"/>
        </w:rPr>
      </w:pPr>
    </w:p>
    <w:tbl>
      <w:tblPr>
        <w:tblW w:w="5000" w:type="pct"/>
        <w:tblLook w:val="04A0" w:firstRow="1" w:lastRow="0" w:firstColumn="1" w:lastColumn="0" w:noHBand="0" w:noVBand="1"/>
      </w:tblPr>
      <w:tblGrid>
        <w:gridCol w:w="2868"/>
        <w:gridCol w:w="3615"/>
        <w:gridCol w:w="2867"/>
      </w:tblGrid>
      <w:tr w:rsidR="00E52F25" w:rsidRPr="00E52F25" w14:paraId="1A13905A" w14:textId="77777777" w:rsidTr="00E52F25">
        <w:trPr>
          <w:trHeight w:val="300"/>
        </w:trPr>
        <w:tc>
          <w:tcPr>
            <w:tcW w:w="1533" w:type="pct"/>
            <w:tcBorders>
              <w:top w:val="single" w:sz="4" w:space="0" w:color="auto"/>
              <w:left w:val="single" w:sz="4" w:space="0" w:color="auto"/>
              <w:bottom w:val="single" w:sz="4" w:space="0" w:color="auto"/>
              <w:right w:val="single" w:sz="4" w:space="0" w:color="auto"/>
            </w:tcBorders>
            <w:shd w:val="clear" w:color="000000" w:fill="CAEDFB"/>
            <w:vAlign w:val="center"/>
            <w:hideMark/>
          </w:tcPr>
          <w:p w14:paraId="6A9E0A4A" w14:textId="77777777" w:rsidR="00E52F25" w:rsidRPr="00E52F25" w:rsidRDefault="00E52F25" w:rsidP="00E52F25">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E52F25">
              <w:rPr>
                <w:rFonts w:ascii="Aptos Narrow" w:eastAsia="Times New Roman" w:hAnsi="Aptos Narrow" w:cs="Times New Roman"/>
                <w:b/>
                <w:bCs/>
                <w:color w:val="000000"/>
                <w:kern w:val="0"/>
                <w:sz w:val="22"/>
                <w:szCs w:val="22"/>
                <w:lang w:eastAsia="en-CA"/>
                <w14:ligatures w14:val="none"/>
              </w:rPr>
              <w:t>Where It Appears</w:t>
            </w:r>
          </w:p>
        </w:tc>
        <w:tc>
          <w:tcPr>
            <w:tcW w:w="1933" w:type="pct"/>
            <w:tcBorders>
              <w:top w:val="single" w:sz="4" w:space="0" w:color="auto"/>
              <w:left w:val="nil"/>
              <w:bottom w:val="single" w:sz="4" w:space="0" w:color="auto"/>
              <w:right w:val="single" w:sz="4" w:space="0" w:color="auto"/>
            </w:tcBorders>
            <w:shd w:val="clear" w:color="000000" w:fill="CAEDFB"/>
            <w:vAlign w:val="center"/>
            <w:hideMark/>
          </w:tcPr>
          <w:p w14:paraId="4BFDB843" w14:textId="77777777" w:rsidR="00E52F25" w:rsidRPr="00E52F25" w:rsidRDefault="00E52F25" w:rsidP="00E52F25">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E52F25">
              <w:rPr>
                <w:rFonts w:ascii="Aptos Narrow" w:eastAsia="Times New Roman" w:hAnsi="Aptos Narrow" w:cs="Times New Roman"/>
                <w:b/>
                <w:bCs/>
                <w:color w:val="000000"/>
                <w:kern w:val="0"/>
                <w:sz w:val="22"/>
                <w:szCs w:val="22"/>
                <w:lang w:eastAsia="en-CA"/>
                <w14:ligatures w14:val="none"/>
              </w:rPr>
              <w:t>Why It Is Problematic (Financial/Accounting Risk)</w:t>
            </w:r>
          </w:p>
        </w:tc>
        <w:tc>
          <w:tcPr>
            <w:tcW w:w="1533" w:type="pct"/>
            <w:tcBorders>
              <w:top w:val="single" w:sz="4" w:space="0" w:color="auto"/>
              <w:left w:val="nil"/>
              <w:bottom w:val="single" w:sz="4" w:space="0" w:color="auto"/>
              <w:right w:val="single" w:sz="4" w:space="0" w:color="auto"/>
            </w:tcBorders>
            <w:shd w:val="clear" w:color="000000" w:fill="CAEDFB"/>
            <w:vAlign w:val="center"/>
            <w:hideMark/>
          </w:tcPr>
          <w:p w14:paraId="5F92B416" w14:textId="77777777" w:rsidR="00E52F25" w:rsidRPr="00E52F25" w:rsidRDefault="00E52F25" w:rsidP="00E52F25">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E52F25">
              <w:rPr>
                <w:rFonts w:ascii="Aptos Narrow" w:eastAsia="Times New Roman" w:hAnsi="Aptos Narrow" w:cs="Times New Roman"/>
                <w:b/>
                <w:bCs/>
                <w:color w:val="000000"/>
                <w:kern w:val="0"/>
                <w:sz w:val="22"/>
                <w:szCs w:val="22"/>
                <w:lang w:eastAsia="en-CA"/>
                <w14:ligatures w14:val="none"/>
              </w:rPr>
              <w:t>Why Ratio Analysis Alone Misleads</w:t>
            </w:r>
          </w:p>
        </w:tc>
      </w:tr>
      <w:tr w:rsidR="00E52F25" w:rsidRPr="00E52F25" w14:paraId="2485B9B2" w14:textId="77777777" w:rsidTr="00E52F25">
        <w:trPr>
          <w:trHeight w:val="900"/>
        </w:trPr>
        <w:tc>
          <w:tcPr>
            <w:tcW w:w="1533" w:type="pct"/>
            <w:tcBorders>
              <w:top w:val="nil"/>
              <w:left w:val="single" w:sz="4" w:space="0" w:color="auto"/>
              <w:bottom w:val="single" w:sz="4" w:space="0" w:color="auto"/>
              <w:right w:val="single" w:sz="4" w:space="0" w:color="auto"/>
            </w:tcBorders>
            <w:vAlign w:val="center"/>
            <w:hideMark/>
          </w:tcPr>
          <w:p w14:paraId="7B9596CC" w14:textId="77777777" w:rsidR="00E52F25" w:rsidRPr="00E52F25" w:rsidRDefault="00E52F25" w:rsidP="00E52F25">
            <w:pPr>
              <w:spacing w:after="0" w:line="240" w:lineRule="auto"/>
              <w:rPr>
                <w:rFonts w:ascii="Aptos Narrow" w:eastAsia="Times New Roman" w:hAnsi="Aptos Narrow" w:cs="Times New Roman"/>
                <w:color w:val="000000"/>
                <w:kern w:val="0"/>
                <w:sz w:val="22"/>
                <w:szCs w:val="22"/>
                <w:lang w:eastAsia="en-CA"/>
                <w14:ligatures w14:val="none"/>
              </w:rPr>
            </w:pPr>
            <w:r w:rsidRPr="00E52F25">
              <w:rPr>
                <w:rFonts w:ascii="Aptos Narrow" w:eastAsia="Times New Roman" w:hAnsi="Aptos Narrow" w:cs="Times New Roman"/>
                <w:color w:val="000000"/>
                <w:kern w:val="0"/>
                <w:sz w:val="22"/>
                <w:szCs w:val="22"/>
                <w:lang w:eastAsia="en-CA"/>
                <w14:ligatures w14:val="none"/>
              </w:rPr>
              <w:t>Debt</w:t>
            </w:r>
            <w:r w:rsidRPr="00E52F25">
              <w:rPr>
                <w:rFonts w:ascii="Aptos Narrow" w:eastAsia="Times New Roman" w:hAnsi="Aptos Narrow" w:cs="Times New Roman"/>
                <w:color w:val="000000"/>
                <w:kern w:val="0"/>
                <w:sz w:val="22"/>
                <w:szCs w:val="22"/>
                <w:lang w:eastAsia="en-CA"/>
                <w14:ligatures w14:val="none"/>
              </w:rPr>
              <w:noBreakHyphen/>
              <w:t>to</w:t>
            </w:r>
            <w:r w:rsidRPr="00E52F25">
              <w:rPr>
                <w:rFonts w:ascii="Aptos Narrow" w:eastAsia="Times New Roman" w:hAnsi="Aptos Narrow" w:cs="Times New Roman"/>
                <w:color w:val="000000"/>
                <w:kern w:val="0"/>
                <w:sz w:val="22"/>
                <w:szCs w:val="22"/>
                <w:lang w:eastAsia="en-CA"/>
                <w14:ligatures w14:val="none"/>
              </w:rPr>
              <w:noBreakHyphen/>
              <w:t>equity rises to 1.09; interest coverage falls to 0.69x</w:t>
            </w:r>
          </w:p>
        </w:tc>
        <w:tc>
          <w:tcPr>
            <w:tcW w:w="1933" w:type="pct"/>
            <w:tcBorders>
              <w:top w:val="nil"/>
              <w:left w:val="nil"/>
              <w:bottom w:val="single" w:sz="4" w:space="0" w:color="auto"/>
              <w:right w:val="single" w:sz="4" w:space="0" w:color="auto"/>
            </w:tcBorders>
            <w:vAlign w:val="center"/>
            <w:hideMark/>
          </w:tcPr>
          <w:p w14:paraId="34C7029A" w14:textId="77777777" w:rsidR="00E52F25" w:rsidRPr="00E52F25" w:rsidRDefault="00E52F25" w:rsidP="00E52F25">
            <w:pPr>
              <w:spacing w:after="0" w:line="240" w:lineRule="auto"/>
              <w:rPr>
                <w:rFonts w:ascii="Aptos Narrow" w:eastAsia="Times New Roman" w:hAnsi="Aptos Narrow" w:cs="Times New Roman"/>
                <w:color w:val="000000"/>
                <w:kern w:val="0"/>
                <w:sz w:val="22"/>
                <w:szCs w:val="22"/>
                <w:lang w:eastAsia="en-CA"/>
                <w14:ligatures w14:val="none"/>
              </w:rPr>
            </w:pPr>
            <w:r w:rsidRPr="00E52F25">
              <w:rPr>
                <w:rFonts w:ascii="Aptos Narrow" w:eastAsia="Times New Roman" w:hAnsi="Aptos Narrow" w:cs="Times New Roman"/>
                <w:color w:val="000000"/>
                <w:kern w:val="0"/>
                <w:sz w:val="22"/>
                <w:szCs w:val="22"/>
                <w:lang w:eastAsia="en-CA"/>
                <w14:ligatures w14:val="none"/>
              </w:rPr>
              <w:t>Debt increasing while ability to service it is falling; indicates heightened solvency and refinancing risk</w:t>
            </w:r>
          </w:p>
        </w:tc>
        <w:tc>
          <w:tcPr>
            <w:tcW w:w="1533" w:type="pct"/>
            <w:tcBorders>
              <w:top w:val="nil"/>
              <w:left w:val="nil"/>
              <w:bottom w:val="single" w:sz="4" w:space="0" w:color="auto"/>
              <w:right w:val="single" w:sz="4" w:space="0" w:color="auto"/>
            </w:tcBorders>
            <w:vAlign w:val="center"/>
            <w:hideMark/>
          </w:tcPr>
          <w:p w14:paraId="51BB9666" w14:textId="77777777" w:rsidR="00E52F25" w:rsidRPr="00E52F25" w:rsidRDefault="00E52F25" w:rsidP="00E52F25">
            <w:pPr>
              <w:spacing w:after="0" w:line="240" w:lineRule="auto"/>
              <w:rPr>
                <w:rFonts w:ascii="Aptos Narrow" w:eastAsia="Times New Roman" w:hAnsi="Aptos Narrow" w:cs="Times New Roman"/>
                <w:color w:val="000000"/>
                <w:kern w:val="0"/>
                <w:sz w:val="22"/>
                <w:szCs w:val="22"/>
                <w:lang w:eastAsia="en-CA"/>
                <w14:ligatures w14:val="none"/>
              </w:rPr>
            </w:pPr>
            <w:r w:rsidRPr="00E52F25">
              <w:rPr>
                <w:rFonts w:ascii="Aptos Narrow" w:eastAsia="Times New Roman" w:hAnsi="Aptos Narrow" w:cs="Times New Roman"/>
                <w:color w:val="000000"/>
                <w:kern w:val="0"/>
                <w:sz w:val="22"/>
                <w:szCs w:val="22"/>
                <w:lang w:eastAsia="en-CA"/>
                <w14:ligatures w14:val="none"/>
              </w:rPr>
              <w:t>Debt</w:t>
            </w:r>
            <w:r w:rsidRPr="00E52F25">
              <w:rPr>
                <w:rFonts w:ascii="Aptos Narrow" w:eastAsia="Times New Roman" w:hAnsi="Aptos Narrow" w:cs="Times New Roman"/>
                <w:color w:val="000000"/>
                <w:kern w:val="0"/>
                <w:sz w:val="22"/>
                <w:szCs w:val="22"/>
                <w:lang w:eastAsia="en-CA"/>
                <w14:ligatures w14:val="none"/>
              </w:rPr>
              <w:noBreakHyphen/>
              <w:t>to</w:t>
            </w:r>
            <w:r w:rsidRPr="00E52F25">
              <w:rPr>
                <w:rFonts w:ascii="Aptos Narrow" w:eastAsia="Times New Roman" w:hAnsi="Aptos Narrow" w:cs="Times New Roman"/>
                <w:color w:val="000000"/>
                <w:kern w:val="0"/>
                <w:sz w:val="22"/>
                <w:szCs w:val="22"/>
                <w:lang w:eastAsia="en-CA"/>
                <w14:ligatures w14:val="none"/>
              </w:rPr>
              <w:noBreakHyphen/>
              <w:t>equity may appear manageable unless combined with cash</w:t>
            </w:r>
            <w:r w:rsidRPr="00E52F25">
              <w:rPr>
                <w:rFonts w:ascii="Aptos Narrow" w:eastAsia="Times New Roman" w:hAnsi="Aptos Narrow" w:cs="Times New Roman"/>
                <w:color w:val="000000"/>
                <w:kern w:val="0"/>
                <w:sz w:val="22"/>
                <w:szCs w:val="22"/>
                <w:lang w:eastAsia="en-CA"/>
                <w14:ligatures w14:val="none"/>
              </w:rPr>
              <w:noBreakHyphen/>
              <w:t>flow and interest</w:t>
            </w:r>
            <w:r w:rsidRPr="00E52F25">
              <w:rPr>
                <w:rFonts w:ascii="Aptos Narrow" w:eastAsia="Times New Roman" w:hAnsi="Aptos Narrow" w:cs="Times New Roman"/>
                <w:color w:val="000000"/>
                <w:kern w:val="0"/>
                <w:sz w:val="22"/>
                <w:szCs w:val="22"/>
                <w:lang w:eastAsia="en-CA"/>
                <w14:ligatures w14:val="none"/>
              </w:rPr>
              <w:noBreakHyphen/>
              <w:t>coverage context</w:t>
            </w:r>
          </w:p>
        </w:tc>
      </w:tr>
    </w:tbl>
    <w:p w14:paraId="50F36C6D" w14:textId="77777777" w:rsidR="00E52F25" w:rsidRDefault="00E52F25" w:rsidP="00E52F25">
      <w:pPr>
        <w:spacing w:after="0"/>
        <w:rPr>
          <w:rFonts w:ascii="Calibri" w:hAnsi="Calibri" w:cs="Calibri"/>
          <w:sz w:val="22"/>
          <w:szCs w:val="22"/>
        </w:rPr>
      </w:pPr>
    </w:p>
    <w:p w14:paraId="4626A0B8" w14:textId="79453D52" w:rsidR="00650223" w:rsidRDefault="00650223" w:rsidP="00E52F25">
      <w:pPr>
        <w:spacing w:after="0"/>
        <w:rPr>
          <w:rFonts w:ascii="Calibri" w:hAnsi="Calibri" w:cs="Calibri"/>
          <w:sz w:val="22"/>
          <w:szCs w:val="22"/>
        </w:rPr>
      </w:pPr>
      <w:r w:rsidRPr="00650223">
        <w:rPr>
          <w:rFonts w:ascii="Calibri" w:hAnsi="Calibri" w:cs="Calibri"/>
          <w:sz w:val="22"/>
          <w:szCs w:val="22"/>
        </w:rPr>
        <w:t>Debt</w:t>
      </w:r>
      <w:r w:rsidRPr="00650223">
        <w:rPr>
          <w:rFonts w:ascii="Cambria Math" w:hAnsi="Cambria Math" w:cs="Cambria Math"/>
          <w:sz w:val="22"/>
          <w:szCs w:val="22"/>
        </w:rPr>
        <w:t>‑</w:t>
      </w:r>
      <w:r w:rsidRPr="00650223">
        <w:rPr>
          <w:rFonts w:ascii="Calibri" w:hAnsi="Calibri" w:cs="Calibri"/>
          <w:sz w:val="22"/>
          <w:szCs w:val="22"/>
        </w:rPr>
        <w:t>to</w:t>
      </w:r>
      <w:r w:rsidRPr="00650223">
        <w:rPr>
          <w:rFonts w:ascii="Cambria Math" w:hAnsi="Cambria Math" w:cs="Cambria Math"/>
          <w:sz w:val="22"/>
          <w:szCs w:val="22"/>
        </w:rPr>
        <w:t>‑</w:t>
      </w:r>
      <w:r w:rsidRPr="00650223">
        <w:rPr>
          <w:rFonts w:ascii="Calibri" w:hAnsi="Calibri" w:cs="Calibri"/>
          <w:sz w:val="22"/>
          <w:szCs w:val="22"/>
        </w:rPr>
        <w:t>equity nearly doubles while interest coverage falls below 1.0 by 2025. Combined with negative CFO, this indicates that the company is relying on debt to fund operations rather than growth. A ratio</w:t>
      </w:r>
      <w:r w:rsidRPr="00650223">
        <w:rPr>
          <w:rFonts w:ascii="Cambria Math" w:hAnsi="Cambria Math" w:cs="Cambria Math"/>
          <w:sz w:val="22"/>
          <w:szCs w:val="22"/>
        </w:rPr>
        <w:t>‑</w:t>
      </w:r>
      <w:r w:rsidRPr="00650223">
        <w:rPr>
          <w:rFonts w:ascii="Calibri" w:hAnsi="Calibri" w:cs="Calibri"/>
          <w:sz w:val="22"/>
          <w:szCs w:val="22"/>
        </w:rPr>
        <w:t>only view of leverage could understate risk unless paired with cash</w:t>
      </w:r>
      <w:r w:rsidRPr="00650223">
        <w:rPr>
          <w:rFonts w:ascii="Cambria Math" w:hAnsi="Cambria Math" w:cs="Cambria Math"/>
          <w:sz w:val="22"/>
          <w:szCs w:val="22"/>
        </w:rPr>
        <w:t>‑</w:t>
      </w:r>
      <w:r w:rsidRPr="00650223">
        <w:rPr>
          <w:rFonts w:ascii="Calibri" w:hAnsi="Calibri" w:cs="Calibri"/>
          <w:sz w:val="22"/>
          <w:szCs w:val="22"/>
        </w:rPr>
        <w:t>flow and interest</w:t>
      </w:r>
      <w:r w:rsidRPr="00650223">
        <w:rPr>
          <w:rFonts w:ascii="Cambria Math" w:hAnsi="Cambria Math" w:cs="Cambria Math"/>
          <w:sz w:val="22"/>
          <w:szCs w:val="22"/>
        </w:rPr>
        <w:t>‑</w:t>
      </w:r>
      <w:r w:rsidRPr="00650223">
        <w:rPr>
          <w:rFonts w:ascii="Calibri" w:hAnsi="Calibri" w:cs="Calibri"/>
          <w:sz w:val="22"/>
          <w:szCs w:val="22"/>
        </w:rPr>
        <w:t>coverage analysis, which reveal a deteriorating solvency position.</w:t>
      </w:r>
    </w:p>
    <w:p w14:paraId="1644DAA4" w14:textId="77777777" w:rsidR="00820A67" w:rsidRDefault="00820A67" w:rsidP="00E52F25">
      <w:pPr>
        <w:spacing w:after="0"/>
        <w:rPr>
          <w:rFonts w:ascii="Calibri" w:hAnsi="Calibri" w:cs="Calibri"/>
          <w:sz w:val="22"/>
          <w:szCs w:val="22"/>
        </w:rPr>
      </w:pPr>
    </w:p>
    <w:p w14:paraId="762DAAE0" w14:textId="71582150" w:rsidR="00820A67" w:rsidRDefault="00820A67" w:rsidP="00820A67">
      <w:pPr>
        <w:pStyle w:val="ListParagraph"/>
        <w:numPr>
          <w:ilvl w:val="0"/>
          <w:numId w:val="9"/>
        </w:numPr>
        <w:spacing w:after="0"/>
        <w:rPr>
          <w:rFonts w:ascii="Calibri" w:hAnsi="Calibri" w:cs="Calibri"/>
          <w:sz w:val="22"/>
          <w:szCs w:val="22"/>
        </w:rPr>
      </w:pPr>
      <w:r>
        <w:rPr>
          <w:rFonts w:ascii="Calibri" w:hAnsi="Calibri" w:cs="Calibri"/>
          <w:sz w:val="22"/>
          <w:szCs w:val="22"/>
        </w:rPr>
        <w:t>Volatile One-Year spike in 2024 performance</w:t>
      </w:r>
    </w:p>
    <w:p w14:paraId="56CEEE72" w14:textId="77777777" w:rsidR="00106087" w:rsidRDefault="00106087" w:rsidP="00106087">
      <w:pPr>
        <w:pStyle w:val="ListParagraph"/>
        <w:spacing w:after="0"/>
        <w:rPr>
          <w:rFonts w:ascii="Calibri" w:hAnsi="Calibri" w:cs="Calibri"/>
          <w:sz w:val="22"/>
          <w:szCs w:val="22"/>
        </w:rPr>
      </w:pPr>
    </w:p>
    <w:tbl>
      <w:tblPr>
        <w:tblW w:w="5000" w:type="pct"/>
        <w:tblLook w:val="04A0" w:firstRow="1" w:lastRow="0" w:firstColumn="1" w:lastColumn="0" w:noHBand="0" w:noVBand="1"/>
      </w:tblPr>
      <w:tblGrid>
        <w:gridCol w:w="2868"/>
        <w:gridCol w:w="3615"/>
        <w:gridCol w:w="2867"/>
      </w:tblGrid>
      <w:tr w:rsidR="00820A67" w:rsidRPr="00820A67" w14:paraId="3EA41C1B" w14:textId="77777777" w:rsidTr="00820A67">
        <w:trPr>
          <w:trHeight w:val="300"/>
        </w:trPr>
        <w:tc>
          <w:tcPr>
            <w:tcW w:w="1533" w:type="pct"/>
            <w:tcBorders>
              <w:top w:val="single" w:sz="4" w:space="0" w:color="auto"/>
              <w:left w:val="single" w:sz="4" w:space="0" w:color="auto"/>
              <w:bottom w:val="single" w:sz="4" w:space="0" w:color="auto"/>
              <w:right w:val="single" w:sz="4" w:space="0" w:color="auto"/>
            </w:tcBorders>
            <w:shd w:val="clear" w:color="000000" w:fill="CAEDFB"/>
            <w:vAlign w:val="center"/>
            <w:hideMark/>
          </w:tcPr>
          <w:p w14:paraId="4025C4B2" w14:textId="77777777" w:rsidR="00820A67" w:rsidRPr="00820A67" w:rsidRDefault="00820A67" w:rsidP="00820A67">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820A67">
              <w:rPr>
                <w:rFonts w:ascii="Aptos Narrow" w:eastAsia="Times New Roman" w:hAnsi="Aptos Narrow" w:cs="Times New Roman"/>
                <w:b/>
                <w:bCs/>
                <w:color w:val="000000"/>
                <w:kern w:val="0"/>
                <w:sz w:val="22"/>
                <w:szCs w:val="22"/>
                <w:lang w:eastAsia="en-CA"/>
                <w14:ligatures w14:val="none"/>
              </w:rPr>
              <w:t>Where It Appears</w:t>
            </w:r>
          </w:p>
        </w:tc>
        <w:tc>
          <w:tcPr>
            <w:tcW w:w="1933" w:type="pct"/>
            <w:tcBorders>
              <w:top w:val="single" w:sz="4" w:space="0" w:color="auto"/>
              <w:left w:val="nil"/>
              <w:bottom w:val="single" w:sz="4" w:space="0" w:color="auto"/>
              <w:right w:val="single" w:sz="4" w:space="0" w:color="auto"/>
            </w:tcBorders>
            <w:shd w:val="clear" w:color="000000" w:fill="CAEDFB"/>
            <w:vAlign w:val="center"/>
            <w:hideMark/>
          </w:tcPr>
          <w:p w14:paraId="03F7AEE5" w14:textId="77777777" w:rsidR="00820A67" w:rsidRPr="00820A67" w:rsidRDefault="00820A67" w:rsidP="00820A67">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820A67">
              <w:rPr>
                <w:rFonts w:ascii="Aptos Narrow" w:eastAsia="Times New Roman" w:hAnsi="Aptos Narrow" w:cs="Times New Roman"/>
                <w:b/>
                <w:bCs/>
                <w:color w:val="000000"/>
                <w:kern w:val="0"/>
                <w:sz w:val="22"/>
                <w:szCs w:val="22"/>
                <w:lang w:eastAsia="en-CA"/>
                <w14:ligatures w14:val="none"/>
              </w:rPr>
              <w:t>Why It Is Problematic (Financial/Accounting Risk)</w:t>
            </w:r>
          </w:p>
        </w:tc>
        <w:tc>
          <w:tcPr>
            <w:tcW w:w="1533" w:type="pct"/>
            <w:tcBorders>
              <w:top w:val="single" w:sz="4" w:space="0" w:color="auto"/>
              <w:left w:val="nil"/>
              <w:bottom w:val="single" w:sz="4" w:space="0" w:color="auto"/>
              <w:right w:val="single" w:sz="4" w:space="0" w:color="auto"/>
            </w:tcBorders>
            <w:shd w:val="clear" w:color="000000" w:fill="CAEDFB"/>
            <w:vAlign w:val="center"/>
            <w:hideMark/>
          </w:tcPr>
          <w:p w14:paraId="4FFD2C94" w14:textId="77777777" w:rsidR="00820A67" w:rsidRPr="00820A67" w:rsidRDefault="00820A67" w:rsidP="00820A67">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820A67">
              <w:rPr>
                <w:rFonts w:ascii="Aptos Narrow" w:eastAsia="Times New Roman" w:hAnsi="Aptos Narrow" w:cs="Times New Roman"/>
                <w:b/>
                <w:bCs/>
                <w:color w:val="000000"/>
                <w:kern w:val="0"/>
                <w:sz w:val="22"/>
                <w:szCs w:val="22"/>
                <w:lang w:eastAsia="en-CA"/>
                <w14:ligatures w14:val="none"/>
              </w:rPr>
              <w:t>Why Ratio Analysis Alone Misleads</w:t>
            </w:r>
          </w:p>
        </w:tc>
      </w:tr>
      <w:tr w:rsidR="00820A67" w:rsidRPr="00820A67" w14:paraId="0201B6E8" w14:textId="77777777" w:rsidTr="00820A67">
        <w:trPr>
          <w:trHeight w:val="600"/>
        </w:trPr>
        <w:tc>
          <w:tcPr>
            <w:tcW w:w="1533" w:type="pct"/>
            <w:tcBorders>
              <w:top w:val="nil"/>
              <w:left w:val="single" w:sz="4" w:space="0" w:color="auto"/>
              <w:bottom w:val="single" w:sz="4" w:space="0" w:color="auto"/>
              <w:right w:val="single" w:sz="4" w:space="0" w:color="auto"/>
            </w:tcBorders>
            <w:vAlign w:val="center"/>
            <w:hideMark/>
          </w:tcPr>
          <w:p w14:paraId="38D718B1" w14:textId="77777777" w:rsidR="00820A67" w:rsidRPr="00820A67" w:rsidRDefault="00820A67" w:rsidP="00820A67">
            <w:pPr>
              <w:spacing w:after="0" w:line="240" w:lineRule="auto"/>
              <w:rPr>
                <w:rFonts w:ascii="Aptos Narrow" w:eastAsia="Times New Roman" w:hAnsi="Aptos Narrow" w:cs="Times New Roman"/>
                <w:color w:val="000000"/>
                <w:kern w:val="0"/>
                <w:sz w:val="22"/>
                <w:szCs w:val="22"/>
                <w:lang w:eastAsia="en-CA"/>
                <w14:ligatures w14:val="none"/>
              </w:rPr>
            </w:pPr>
            <w:r w:rsidRPr="00820A67">
              <w:rPr>
                <w:rFonts w:ascii="Aptos Narrow" w:eastAsia="Times New Roman" w:hAnsi="Aptos Narrow" w:cs="Times New Roman"/>
                <w:color w:val="000000"/>
                <w:kern w:val="0"/>
                <w:sz w:val="22"/>
                <w:szCs w:val="22"/>
                <w:lang w:eastAsia="en-CA"/>
                <w14:ligatures w14:val="none"/>
              </w:rPr>
              <w:t>Operating margin jumps to 14% then collapses to 3%; ROA follows same pattern</w:t>
            </w:r>
          </w:p>
        </w:tc>
        <w:tc>
          <w:tcPr>
            <w:tcW w:w="1933" w:type="pct"/>
            <w:tcBorders>
              <w:top w:val="nil"/>
              <w:left w:val="nil"/>
              <w:bottom w:val="single" w:sz="4" w:space="0" w:color="auto"/>
              <w:right w:val="single" w:sz="4" w:space="0" w:color="auto"/>
            </w:tcBorders>
            <w:vAlign w:val="center"/>
            <w:hideMark/>
          </w:tcPr>
          <w:p w14:paraId="2EDB12D2" w14:textId="77777777" w:rsidR="00820A67" w:rsidRPr="00820A67" w:rsidRDefault="00820A67" w:rsidP="00820A67">
            <w:pPr>
              <w:spacing w:after="0" w:line="240" w:lineRule="auto"/>
              <w:rPr>
                <w:rFonts w:ascii="Aptos Narrow" w:eastAsia="Times New Roman" w:hAnsi="Aptos Narrow" w:cs="Times New Roman"/>
                <w:color w:val="000000"/>
                <w:kern w:val="0"/>
                <w:sz w:val="22"/>
                <w:szCs w:val="22"/>
                <w:lang w:eastAsia="en-CA"/>
                <w14:ligatures w14:val="none"/>
              </w:rPr>
            </w:pPr>
            <w:r w:rsidRPr="00820A67">
              <w:rPr>
                <w:rFonts w:ascii="Aptos Narrow" w:eastAsia="Times New Roman" w:hAnsi="Aptos Narrow" w:cs="Times New Roman"/>
                <w:color w:val="000000"/>
                <w:kern w:val="0"/>
                <w:sz w:val="22"/>
                <w:szCs w:val="22"/>
                <w:lang w:eastAsia="en-CA"/>
                <w14:ligatures w14:val="none"/>
              </w:rPr>
              <w:t>Suggests non</w:t>
            </w:r>
            <w:r w:rsidRPr="00820A67">
              <w:rPr>
                <w:rFonts w:ascii="Aptos Narrow" w:eastAsia="Times New Roman" w:hAnsi="Aptos Narrow" w:cs="Times New Roman"/>
                <w:color w:val="000000"/>
                <w:kern w:val="0"/>
                <w:sz w:val="22"/>
                <w:szCs w:val="22"/>
                <w:lang w:eastAsia="en-CA"/>
                <w14:ligatures w14:val="none"/>
              </w:rPr>
              <w:noBreakHyphen/>
              <w:t>recurring items or accounting adjustments; improvement is not sustainable</w:t>
            </w:r>
          </w:p>
        </w:tc>
        <w:tc>
          <w:tcPr>
            <w:tcW w:w="1533" w:type="pct"/>
            <w:tcBorders>
              <w:top w:val="nil"/>
              <w:left w:val="nil"/>
              <w:bottom w:val="single" w:sz="4" w:space="0" w:color="auto"/>
              <w:right w:val="single" w:sz="4" w:space="0" w:color="auto"/>
            </w:tcBorders>
            <w:vAlign w:val="center"/>
            <w:hideMark/>
          </w:tcPr>
          <w:p w14:paraId="256DD7EF" w14:textId="77777777" w:rsidR="00820A67" w:rsidRPr="00820A67" w:rsidRDefault="00820A67" w:rsidP="00820A67">
            <w:pPr>
              <w:spacing w:after="0" w:line="240" w:lineRule="auto"/>
              <w:rPr>
                <w:rFonts w:ascii="Aptos Narrow" w:eastAsia="Times New Roman" w:hAnsi="Aptos Narrow" w:cs="Times New Roman"/>
                <w:color w:val="000000"/>
                <w:kern w:val="0"/>
                <w:sz w:val="22"/>
                <w:szCs w:val="22"/>
                <w:lang w:eastAsia="en-CA"/>
                <w14:ligatures w14:val="none"/>
              </w:rPr>
            </w:pPr>
            <w:r w:rsidRPr="00820A67">
              <w:rPr>
                <w:rFonts w:ascii="Aptos Narrow" w:eastAsia="Times New Roman" w:hAnsi="Aptos Narrow" w:cs="Times New Roman"/>
                <w:color w:val="000000"/>
                <w:kern w:val="0"/>
                <w:sz w:val="22"/>
                <w:szCs w:val="22"/>
                <w:lang w:eastAsia="en-CA"/>
                <w14:ligatures w14:val="none"/>
              </w:rPr>
              <w:t>A single</w:t>
            </w:r>
            <w:r w:rsidRPr="00820A67">
              <w:rPr>
                <w:rFonts w:ascii="Aptos Narrow" w:eastAsia="Times New Roman" w:hAnsi="Aptos Narrow" w:cs="Times New Roman"/>
                <w:color w:val="000000"/>
                <w:kern w:val="0"/>
                <w:sz w:val="22"/>
                <w:szCs w:val="22"/>
                <w:lang w:eastAsia="en-CA"/>
                <w14:ligatures w14:val="none"/>
              </w:rPr>
              <w:noBreakHyphen/>
              <w:t>year ratio view may falsely imply operational recovery</w:t>
            </w:r>
          </w:p>
        </w:tc>
      </w:tr>
    </w:tbl>
    <w:p w14:paraId="644804BF" w14:textId="77777777" w:rsidR="00820A67" w:rsidRDefault="00820A67" w:rsidP="00820A67">
      <w:pPr>
        <w:spacing w:after="0"/>
        <w:rPr>
          <w:rFonts w:ascii="Calibri" w:hAnsi="Calibri" w:cs="Calibri"/>
          <w:sz w:val="22"/>
          <w:szCs w:val="22"/>
        </w:rPr>
      </w:pPr>
    </w:p>
    <w:p w14:paraId="685CCC3D" w14:textId="138108E2" w:rsidR="00106087" w:rsidRDefault="00106087" w:rsidP="00820A67">
      <w:pPr>
        <w:spacing w:after="0"/>
        <w:rPr>
          <w:rFonts w:ascii="Calibri" w:hAnsi="Calibri" w:cs="Calibri"/>
          <w:sz w:val="22"/>
          <w:szCs w:val="22"/>
        </w:rPr>
      </w:pPr>
      <w:r w:rsidRPr="00106087">
        <w:rPr>
          <w:rFonts w:ascii="Calibri" w:hAnsi="Calibri" w:cs="Calibri"/>
          <w:sz w:val="22"/>
          <w:szCs w:val="22"/>
        </w:rPr>
        <w:t>The sudden improvement in operating margin and ROA in 2024, followed by an immediate collapse in 2025, suggests non</w:t>
      </w:r>
      <w:r w:rsidRPr="00106087">
        <w:rPr>
          <w:rFonts w:ascii="Cambria Math" w:hAnsi="Cambria Math" w:cs="Cambria Math"/>
          <w:sz w:val="22"/>
          <w:szCs w:val="22"/>
        </w:rPr>
        <w:t>‑</w:t>
      </w:r>
      <w:r w:rsidRPr="00106087">
        <w:rPr>
          <w:rFonts w:ascii="Calibri" w:hAnsi="Calibri" w:cs="Calibri"/>
          <w:sz w:val="22"/>
          <w:szCs w:val="22"/>
        </w:rPr>
        <w:t>recurring or accounting</w:t>
      </w:r>
      <w:r w:rsidRPr="00106087">
        <w:rPr>
          <w:rFonts w:ascii="Cambria Math" w:hAnsi="Cambria Math" w:cs="Cambria Math"/>
          <w:sz w:val="22"/>
          <w:szCs w:val="22"/>
        </w:rPr>
        <w:t>‑</w:t>
      </w:r>
      <w:r w:rsidRPr="00106087">
        <w:rPr>
          <w:rFonts w:ascii="Calibri" w:hAnsi="Calibri" w:cs="Calibri"/>
          <w:sz w:val="22"/>
          <w:szCs w:val="22"/>
        </w:rPr>
        <w:t>driven effects rather than structural improvement. A ratio</w:t>
      </w:r>
      <w:r w:rsidRPr="00106087">
        <w:rPr>
          <w:rFonts w:ascii="Cambria Math" w:hAnsi="Cambria Math" w:cs="Cambria Math"/>
          <w:sz w:val="22"/>
          <w:szCs w:val="22"/>
        </w:rPr>
        <w:t>‑</w:t>
      </w:r>
      <w:r w:rsidRPr="00106087">
        <w:rPr>
          <w:rFonts w:ascii="Calibri" w:hAnsi="Calibri" w:cs="Calibri"/>
          <w:sz w:val="22"/>
          <w:szCs w:val="22"/>
        </w:rPr>
        <w:t>only analysis that over</w:t>
      </w:r>
      <w:r w:rsidRPr="00106087">
        <w:rPr>
          <w:rFonts w:ascii="Cambria Math" w:hAnsi="Cambria Math" w:cs="Cambria Math"/>
          <w:sz w:val="22"/>
          <w:szCs w:val="22"/>
        </w:rPr>
        <w:t>‑</w:t>
      </w:r>
      <w:r w:rsidRPr="00106087">
        <w:rPr>
          <w:rFonts w:ascii="Calibri" w:hAnsi="Calibri" w:cs="Calibri"/>
          <w:sz w:val="22"/>
          <w:szCs w:val="22"/>
        </w:rPr>
        <w:t>weights 2024 could lead to overly optimistic conclusions about profitability and operational recovery.</w:t>
      </w:r>
    </w:p>
    <w:p w14:paraId="0D88D848" w14:textId="77777777" w:rsidR="00EF4075" w:rsidRDefault="00EF4075" w:rsidP="00820A67">
      <w:pPr>
        <w:spacing w:after="0"/>
        <w:rPr>
          <w:rFonts w:ascii="Calibri" w:hAnsi="Calibri" w:cs="Calibri"/>
          <w:sz w:val="22"/>
          <w:szCs w:val="22"/>
        </w:rPr>
      </w:pPr>
    </w:p>
    <w:p w14:paraId="422D369B" w14:textId="5A88EE77" w:rsidR="00EF4075" w:rsidRDefault="0044633C" w:rsidP="00EF4075">
      <w:pPr>
        <w:pStyle w:val="ListParagraph"/>
        <w:numPr>
          <w:ilvl w:val="0"/>
          <w:numId w:val="9"/>
        </w:numPr>
        <w:spacing w:after="0"/>
        <w:rPr>
          <w:rFonts w:ascii="Calibri" w:hAnsi="Calibri" w:cs="Calibri"/>
          <w:sz w:val="22"/>
          <w:szCs w:val="22"/>
        </w:rPr>
      </w:pPr>
      <w:r>
        <w:rPr>
          <w:rFonts w:ascii="Calibri" w:hAnsi="Calibri" w:cs="Calibri"/>
          <w:sz w:val="22"/>
          <w:szCs w:val="22"/>
        </w:rPr>
        <w:lastRenderedPageBreak/>
        <w:t xml:space="preserve">Cross- Statement Inconsistencies </w:t>
      </w:r>
    </w:p>
    <w:p w14:paraId="465BC7B0" w14:textId="77777777" w:rsidR="0044633C" w:rsidRDefault="0044633C" w:rsidP="0044633C">
      <w:pPr>
        <w:spacing w:after="0"/>
        <w:rPr>
          <w:rFonts w:ascii="Calibri" w:hAnsi="Calibri" w:cs="Calibri"/>
          <w:sz w:val="22"/>
          <w:szCs w:val="22"/>
        </w:rPr>
      </w:pPr>
    </w:p>
    <w:tbl>
      <w:tblPr>
        <w:tblW w:w="5000" w:type="pct"/>
        <w:tblLook w:val="04A0" w:firstRow="1" w:lastRow="0" w:firstColumn="1" w:lastColumn="0" w:noHBand="0" w:noVBand="1"/>
      </w:tblPr>
      <w:tblGrid>
        <w:gridCol w:w="2868"/>
        <w:gridCol w:w="3615"/>
        <w:gridCol w:w="2867"/>
      </w:tblGrid>
      <w:tr w:rsidR="0044633C" w:rsidRPr="0044633C" w14:paraId="572871E5" w14:textId="77777777" w:rsidTr="0044633C">
        <w:trPr>
          <w:trHeight w:val="300"/>
        </w:trPr>
        <w:tc>
          <w:tcPr>
            <w:tcW w:w="1533" w:type="pct"/>
            <w:tcBorders>
              <w:top w:val="single" w:sz="4" w:space="0" w:color="auto"/>
              <w:left w:val="single" w:sz="4" w:space="0" w:color="auto"/>
              <w:bottom w:val="single" w:sz="4" w:space="0" w:color="auto"/>
              <w:right w:val="single" w:sz="4" w:space="0" w:color="auto"/>
            </w:tcBorders>
            <w:shd w:val="clear" w:color="000000" w:fill="CAEDFB"/>
            <w:vAlign w:val="center"/>
            <w:hideMark/>
          </w:tcPr>
          <w:p w14:paraId="35A2C293" w14:textId="77777777" w:rsidR="0044633C" w:rsidRPr="0044633C" w:rsidRDefault="0044633C" w:rsidP="0044633C">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44633C">
              <w:rPr>
                <w:rFonts w:ascii="Aptos Narrow" w:eastAsia="Times New Roman" w:hAnsi="Aptos Narrow" w:cs="Times New Roman"/>
                <w:b/>
                <w:bCs/>
                <w:color w:val="000000"/>
                <w:kern w:val="0"/>
                <w:sz w:val="22"/>
                <w:szCs w:val="22"/>
                <w:lang w:eastAsia="en-CA"/>
                <w14:ligatures w14:val="none"/>
              </w:rPr>
              <w:t>Where It Appears</w:t>
            </w:r>
          </w:p>
        </w:tc>
        <w:tc>
          <w:tcPr>
            <w:tcW w:w="1933" w:type="pct"/>
            <w:tcBorders>
              <w:top w:val="single" w:sz="4" w:space="0" w:color="auto"/>
              <w:left w:val="nil"/>
              <w:bottom w:val="single" w:sz="4" w:space="0" w:color="auto"/>
              <w:right w:val="single" w:sz="4" w:space="0" w:color="auto"/>
            </w:tcBorders>
            <w:shd w:val="clear" w:color="000000" w:fill="CAEDFB"/>
            <w:vAlign w:val="center"/>
            <w:hideMark/>
          </w:tcPr>
          <w:p w14:paraId="400F5BB1" w14:textId="77777777" w:rsidR="0044633C" w:rsidRPr="0044633C" w:rsidRDefault="0044633C" w:rsidP="0044633C">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44633C">
              <w:rPr>
                <w:rFonts w:ascii="Aptos Narrow" w:eastAsia="Times New Roman" w:hAnsi="Aptos Narrow" w:cs="Times New Roman"/>
                <w:b/>
                <w:bCs/>
                <w:color w:val="000000"/>
                <w:kern w:val="0"/>
                <w:sz w:val="22"/>
                <w:szCs w:val="22"/>
                <w:lang w:eastAsia="en-CA"/>
                <w14:ligatures w14:val="none"/>
              </w:rPr>
              <w:t>Why It Is Problematic (Financial/Accounting Risk)</w:t>
            </w:r>
          </w:p>
        </w:tc>
        <w:tc>
          <w:tcPr>
            <w:tcW w:w="1533" w:type="pct"/>
            <w:tcBorders>
              <w:top w:val="single" w:sz="4" w:space="0" w:color="auto"/>
              <w:left w:val="nil"/>
              <w:bottom w:val="single" w:sz="4" w:space="0" w:color="auto"/>
              <w:right w:val="single" w:sz="4" w:space="0" w:color="auto"/>
            </w:tcBorders>
            <w:shd w:val="clear" w:color="000000" w:fill="CAEDFB"/>
            <w:vAlign w:val="center"/>
            <w:hideMark/>
          </w:tcPr>
          <w:p w14:paraId="283D6A6C" w14:textId="77777777" w:rsidR="0044633C" w:rsidRPr="0044633C" w:rsidRDefault="0044633C" w:rsidP="0044633C">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44633C">
              <w:rPr>
                <w:rFonts w:ascii="Aptos Narrow" w:eastAsia="Times New Roman" w:hAnsi="Aptos Narrow" w:cs="Times New Roman"/>
                <w:b/>
                <w:bCs/>
                <w:color w:val="000000"/>
                <w:kern w:val="0"/>
                <w:sz w:val="22"/>
                <w:szCs w:val="22"/>
                <w:lang w:eastAsia="en-CA"/>
                <w14:ligatures w14:val="none"/>
              </w:rPr>
              <w:t>Why Ratio Analysis Alone Misleads</w:t>
            </w:r>
          </w:p>
        </w:tc>
      </w:tr>
      <w:tr w:rsidR="0044633C" w:rsidRPr="0044633C" w14:paraId="1927D23B" w14:textId="77777777" w:rsidTr="0044633C">
        <w:trPr>
          <w:trHeight w:val="900"/>
        </w:trPr>
        <w:tc>
          <w:tcPr>
            <w:tcW w:w="1533" w:type="pct"/>
            <w:tcBorders>
              <w:top w:val="nil"/>
              <w:left w:val="single" w:sz="4" w:space="0" w:color="auto"/>
              <w:bottom w:val="single" w:sz="4" w:space="0" w:color="auto"/>
              <w:right w:val="single" w:sz="4" w:space="0" w:color="auto"/>
            </w:tcBorders>
            <w:vAlign w:val="center"/>
            <w:hideMark/>
          </w:tcPr>
          <w:p w14:paraId="45A65507" w14:textId="77777777" w:rsidR="0044633C" w:rsidRPr="0044633C" w:rsidRDefault="0044633C" w:rsidP="0044633C">
            <w:pPr>
              <w:spacing w:after="0" w:line="240" w:lineRule="auto"/>
              <w:rPr>
                <w:rFonts w:ascii="Aptos Narrow" w:eastAsia="Times New Roman" w:hAnsi="Aptos Narrow" w:cs="Times New Roman"/>
                <w:color w:val="000000"/>
                <w:kern w:val="0"/>
                <w:sz w:val="22"/>
                <w:szCs w:val="22"/>
                <w:lang w:eastAsia="en-CA"/>
                <w14:ligatures w14:val="none"/>
              </w:rPr>
            </w:pPr>
            <w:r w:rsidRPr="0044633C">
              <w:rPr>
                <w:rFonts w:ascii="Aptos Narrow" w:eastAsia="Times New Roman" w:hAnsi="Aptos Narrow" w:cs="Times New Roman"/>
                <w:color w:val="000000"/>
                <w:kern w:val="0"/>
                <w:sz w:val="22"/>
                <w:szCs w:val="22"/>
                <w:lang w:eastAsia="en-CA"/>
                <w14:ligatures w14:val="none"/>
              </w:rPr>
              <w:t>CFS “change in working capital” does not fully reconcile with BS movements</w:t>
            </w:r>
          </w:p>
        </w:tc>
        <w:tc>
          <w:tcPr>
            <w:tcW w:w="1933" w:type="pct"/>
            <w:tcBorders>
              <w:top w:val="nil"/>
              <w:left w:val="nil"/>
              <w:bottom w:val="single" w:sz="4" w:space="0" w:color="auto"/>
              <w:right w:val="single" w:sz="4" w:space="0" w:color="auto"/>
            </w:tcBorders>
            <w:vAlign w:val="center"/>
            <w:hideMark/>
          </w:tcPr>
          <w:p w14:paraId="1918CA88" w14:textId="77777777" w:rsidR="0044633C" w:rsidRPr="0044633C" w:rsidRDefault="0044633C" w:rsidP="0044633C">
            <w:pPr>
              <w:spacing w:after="0" w:line="240" w:lineRule="auto"/>
              <w:rPr>
                <w:rFonts w:ascii="Aptos Narrow" w:eastAsia="Times New Roman" w:hAnsi="Aptos Narrow" w:cs="Times New Roman"/>
                <w:color w:val="000000"/>
                <w:kern w:val="0"/>
                <w:sz w:val="22"/>
                <w:szCs w:val="22"/>
                <w:lang w:eastAsia="en-CA"/>
                <w14:ligatures w14:val="none"/>
              </w:rPr>
            </w:pPr>
            <w:r w:rsidRPr="0044633C">
              <w:rPr>
                <w:rFonts w:ascii="Aptos Narrow" w:eastAsia="Times New Roman" w:hAnsi="Aptos Narrow" w:cs="Times New Roman"/>
                <w:color w:val="000000"/>
                <w:kern w:val="0"/>
                <w:sz w:val="22"/>
                <w:szCs w:val="22"/>
                <w:lang w:eastAsia="en-CA"/>
                <w14:ligatures w14:val="none"/>
              </w:rPr>
              <w:t>Indicates data integrity issues; undermines reliability of CFO and working</w:t>
            </w:r>
            <w:r w:rsidRPr="0044633C">
              <w:rPr>
                <w:rFonts w:ascii="Aptos Narrow" w:eastAsia="Times New Roman" w:hAnsi="Aptos Narrow" w:cs="Times New Roman"/>
                <w:color w:val="000000"/>
                <w:kern w:val="0"/>
                <w:sz w:val="22"/>
                <w:szCs w:val="22"/>
                <w:lang w:eastAsia="en-CA"/>
                <w14:ligatures w14:val="none"/>
              </w:rPr>
              <w:noBreakHyphen/>
              <w:t>capital metrics</w:t>
            </w:r>
          </w:p>
        </w:tc>
        <w:tc>
          <w:tcPr>
            <w:tcW w:w="1533" w:type="pct"/>
            <w:tcBorders>
              <w:top w:val="nil"/>
              <w:left w:val="nil"/>
              <w:bottom w:val="single" w:sz="4" w:space="0" w:color="auto"/>
              <w:right w:val="single" w:sz="4" w:space="0" w:color="auto"/>
            </w:tcBorders>
            <w:vAlign w:val="center"/>
            <w:hideMark/>
          </w:tcPr>
          <w:p w14:paraId="671E86D7" w14:textId="77777777" w:rsidR="0044633C" w:rsidRPr="0044633C" w:rsidRDefault="0044633C" w:rsidP="0044633C">
            <w:pPr>
              <w:spacing w:after="0" w:line="240" w:lineRule="auto"/>
              <w:rPr>
                <w:rFonts w:ascii="Aptos Narrow" w:eastAsia="Times New Roman" w:hAnsi="Aptos Narrow" w:cs="Times New Roman"/>
                <w:color w:val="000000"/>
                <w:kern w:val="0"/>
                <w:sz w:val="22"/>
                <w:szCs w:val="22"/>
                <w:lang w:eastAsia="en-CA"/>
                <w14:ligatures w14:val="none"/>
              </w:rPr>
            </w:pPr>
            <w:r w:rsidRPr="0044633C">
              <w:rPr>
                <w:rFonts w:ascii="Aptos Narrow" w:eastAsia="Times New Roman" w:hAnsi="Aptos Narrow" w:cs="Times New Roman"/>
                <w:color w:val="000000"/>
                <w:kern w:val="0"/>
                <w:sz w:val="22"/>
                <w:szCs w:val="22"/>
                <w:lang w:eastAsia="en-CA"/>
                <w14:ligatures w14:val="none"/>
              </w:rPr>
              <w:t>Ratios assume accurate data; inconsistent statements produce misleading conclusions</w:t>
            </w:r>
          </w:p>
        </w:tc>
      </w:tr>
    </w:tbl>
    <w:p w14:paraId="32CB1F0F" w14:textId="77777777" w:rsidR="0044633C" w:rsidRDefault="0044633C" w:rsidP="0044633C">
      <w:pPr>
        <w:spacing w:after="0"/>
        <w:rPr>
          <w:rFonts w:ascii="Calibri" w:hAnsi="Calibri" w:cs="Calibri"/>
          <w:sz w:val="22"/>
          <w:szCs w:val="22"/>
        </w:rPr>
      </w:pPr>
    </w:p>
    <w:p w14:paraId="4B09CB25" w14:textId="4CF3AB4E" w:rsidR="00CA03E9" w:rsidRDefault="00CA03E9" w:rsidP="0044633C">
      <w:pPr>
        <w:spacing w:after="0"/>
        <w:rPr>
          <w:rFonts w:ascii="Calibri" w:hAnsi="Calibri" w:cs="Calibri"/>
          <w:sz w:val="22"/>
          <w:szCs w:val="22"/>
        </w:rPr>
      </w:pPr>
      <w:r w:rsidRPr="00CA03E9">
        <w:rPr>
          <w:rFonts w:ascii="Calibri" w:hAnsi="Calibri" w:cs="Calibri"/>
          <w:sz w:val="22"/>
          <w:szCs w:val="22"/>
        </w:rPr>
        <w:t>The “change in working capital” reported in the cash flow statement does not fully reconcile with year</w:t>
      </w:r>
      <w:r w:rsidRPr="00CA03E9">
        <w:rPr>
          <w:rFonts w:ascii="Cambria Math" w:hAnsi="Cambria Math" w:cs="Cambria Math"/>
          <w:sz w:val="22"/>
          <w:szCs w:val="22"/>
        </w:rPr>
        <w:t>‑</w:t>
      </w:r>
      <w:r w:rsidRPr="00CA03E9">
        <w:rPr>
          <w:rFonts w:ascii="Calibri" w:hAnsi="Calibri" w:cs="Calibri"/>
          <w:sz w:val="22"/>
          <w:szCs w:val="22"/>
        </w:rPr>
        <w:t>over</w:t>
      </w:r>
      <w:r w:rsidRPr="00CA03E9">
        <w:rPr>
          <w:rFonts w:ascii="Cambria Math" w:hAnsi="Cambria Math" w:cs="Cambria Math"/>
          <w:sz w:val="22"/>
          <w:szCs w:val="22"/>
        </w:rPr>
        <w:t>‑</w:t>
      </w:r>
      <w:r w:rsidRPr="00CA03E9">
        <w:rPr>
          <w:rFonts w:ascii="Calibri" w:hAnsi="Calibri" w:cs="Calibri"/>
          <w:sz w:val="22"/>
          <w:szCs w:val="22"/>
        </w:rPr>
        <w:t>year changes in AR, inventory, AP, and other current items. This raises data</w:t>
      </w:r>
      <w:r w:rsidRPr="00CA03E9">
        <w:rPr>
          <w:rFonts w:ascii="Cambria Math" w:hAnsi="Cambria Math" w:cs="Cambria Math"/>
          <w:sz w:val="22"/>
          <w:szCs w:val="22"/>
        </w:rPr>
        <w:t>‑</w:t>
      </w:r>
      <w:r w:rsidRPr="00CA03E9">
        <w:rPr>
          <w:rFonts w:ascii="Calibri" w:hAnsi="Calibri" w:cs="Calibri"/>
          <w:sz w:val="22"/>
          <w:szCs w:val="22"/>
        </w:rPr>
        <w:t>integrity concerns and undermines confidence in CFO and liquidity assessments. Ratios cannot detect such inconsistencies; they assume the underlying data is accurate.</w:t>
      </w:r>
    </w:p>
    <w:p w14:paraId="2606004C" w14:textId="77777777" w:rsidR="00CE1330" w:rsidRDefault="00CE1330" w:rsidP="0044633C">
      <w:pPr>
        <w:spacing w:after="0"/>
        <w:rPr>
          <w:rFonts w:ascii="Calibri" w:hAnsi="Calibri" w:cs="Calibri"/>
          <w:sz w:val="22"/>
          <w:szCs w:val="22"/>
        </w:rPr>
      </w:pPr>
    </w:p>
    <w:p w14:paraId="541D9D0B" w14:textId="0994A58C" w:rsidR="00CE1330" w:rsidRDefault="00A40AAB" w:rsidP="0044633C">
      <w:pPr>
        <w:spacing w:after="0"/>
        <w:rPr>
          <w:rFonts w:ascii="Calibri" w:hAnsi="Calibri" w:cs="Calibri"/>
          <w:sz w:val="22"/>
          <w:szCs w:val="22"/>
        </w:rPr>
      </w:pPr>
      <w:r>
        <w:rPr>
          <w:rFonts w:ascii="Calibri" w:hAnsi="Calibri" w:cs="Calibri"/>
          <w:sz w:val="22"/>
          <w:szCs w:val="22"/>
        </w:rPr>
        <w:t>Why Financial Analysis Must go Beyond Ratios</w:t>
      </w:r>
    </w:p>
    <w:p w14:paraId="55938DB2" w14:textId="77777777" w:rsidR="00A40AAB" w:rsidRDefault="00A40AAB" w:rsidP="0044633C">
      <w:pPr>
        <w:spacing w:after="0"/>
        <w:rPr>
          <w:rFonts w:ascii="Calibri" w:hAnsi="Calibri" w:cs="Calibri"/>
          <w:sz w:val="22"/>
          <w:szCs w:val="22"/>
        </w:rPr>
      </w:pPr>
    </w:p>
    <w:p w14:paraId="2C35484D" w14:textId="725D3CB4" w:rsidR="00A40AAB" w:rsidRDefault="00E2500E" w:rsidP="0044633C">
      <w:pPr>
        <w:spacing w:after="0"/>
        <w:rPr>
          <w:rFonts w:ascii="Calibri" w:hAnsi="Calibri" w:cs="Calibri"/>
          <w:sz w:val="22"/>
          <w:szCs w:val="22"/>
        </w:rPr>
      </w:pPr>
      <w:r w:rsidRPr="00E2500E">
        <w:rPr>
          <w:rFonts w:ascii="Calibri" w:hAnsi="Calibri" w:cs="Calibri"/>
          <w:sz w:val="22"/>
          <w:szCs w:val="22"/>
        </w:rPr>
        <w:t>While ratios provide useful snapshots of performance, they do not validate the underlying data or reveal deeper structural weaknesses in the financial statements. Maple Leaf’s results demonstrate this clearly. Profitability can appear stable even as operating cash flow deteriorates, and rapid growth in working capital can hide emerging liquidity pressures. Leverage ratios may look acceptable despite a declining ability to service debt, and isolated improvements in a single year can distort the overall trend. In addition, inconsistencies across statements, such as mismatched working capital movements, show how data quality issues can undermine ratio</w:t>
      </w:r>
      <w:r w:rsidRPr="00E2500E">
        <w:rPr>
          <w:rFonts w:ascii="Cambria Math" w:hAnsi="Cambria Math" w:cs="Cambria Math"/>
          <w:sz w:val="22"/>
          <w:szCs w:val="22"/>
        </w:rPr>
        <w:t>‑</w:t>
      </w:r>
      <w:r w:rsidRPr="00E2500E">
        <w:rPr>
          <w:rFonts w:ascii="Calibri" w:hAnsi="Calibri" w:cs="Calibri"/>
          <w:sz w:val="22"/>
          <w:szCs w:val="22"/>
        </w:rPr>
        <w:t>based conclusions. For these reasons, meaningful financial analysis requires more than calculating ratios. It depends on reconciling information across all statements, verifying cash flow patterns, and applying professional skepticism to ensure that conclusions reflect the company’s true economic condition rather than surface</w:t>
      </w:r>
      <w:r w:rsidRPr="00E2500E">
        <w:rPr>
          <w:rFonts w:ascii="Cambria Math" w:hAnsi="Cambria Math" w:cs="Cambria Math"/>
          <w:sz w:val="22"/>
          <w:szCs w:val="22"/>
        </w:rPr>
        <w:t>‑</w:t>
      </w:r>
      <w:r w:rsidRPr="00E2500E">
        <w:rPr>
          <w:rFonts w:ascii="Calibri" w:hAnsi="Calibri" w:cs="Calibri"/>
          <w:sz w:val="22"/>
          <w:szCs w:val="22"/>
        </w:rPr>
        <w:t>level metrics.</w:t>
      </w:r>
    </w:p>
    <w:p w14:paraId="2692F4EB" w14:textId="77777777" w:rsidR="004606B2" w:rsidRDefault="004606B2" w:rsidP="0044633C">
      <w:pPr>
        <w:spacing w:after="0"/>
        <w:rPr>
          <w:rFonts w:ascii="Calibri" w:hAnsi="Calibri" w:cs="Calibri"/>
          <w:sz w:val="22"/>
          <w:szCs w:val="22"/>
        </w:rPr>
      </w:pPr>
    </w:p>
    <w:p w14:paraId="2B661B12" w14:textId="77777777" w:rsidR="003B6643" w:rsidRDefault="004606B2" w:rsidP="0044633C">
      <w:pPr>
        <w:spacing w:after="0"/>
        <w:rPr>
          <w:rFonts w:ascii="Calibri" w:hAnsi="Calibri" w:cs="Calibri"/>
          <w:sz w:val="22"/>
          <w:szCs w:val="22"/>
        </w:rPr>
      </w:pPr>
      <w:r>
        <w:rPr>
          <w:rFonts w:ascii="Calibri" w:hAnsi="Calibri" w:cs="Calibri"/>
          <w:sz w:val="22"/>
          <w:szCs w:val="22"/>
        </w:rPr>
        <w:t xml:space="preserve">Q3. </w:t>
      </w:r>
      <w:r w:rsidR="003B6643">
        <w:rPr>
          <w:rFonts w:ascii="Calibri" w:hAnsi="Calibri" w:cs="Calibri"/>
          <w:sz w:val="22"/>
          <w:szCs w:val="22"/>
        </w:rPr>
        <w:t>AI-Assisted Analysis, Validation, and Professional Judgement</w:t>
      </w:r>
    </w:p>
    <w:p w14:paraId="24B1FA32" w14:textId="77777777" w:rsidR="00CF4C5F" w:rsidRDefault="00CF4C5F" w:rsidP="0044633C">
      <w:pPr>
        <w:spacing w:after="0"/>
        <w:rPr>
          <w:rFonts w:ascii="Calibri" w:hAnsi="Calibri" w:cs="Calibri"/>
          <w:sz w:val="22"/>
          <w:szCs w:val="22"/>
        </w:rPr>
      </w:pPr>
    </w:p>
    <w:p w14:paraId="6F97014E" w14:textId="4C2CBE01" w:rsidR="004606B2" w:rsidRDefault="003B6643" w:rsidP="00CF4C5F">
      <w:pPr>
        <w:pStyle w:val="ListParagraph"/>
        <w:numPr>
          <w:ilvl w:val="0"/>
          <w:numId w:val="10"/>
        </w:numPr>
        <w:spacing w:after="0"/>
        <w:rPr>
          <w:rFonts w:ascii="Calibri" w:hAnsi="Calibri" w:cs="Calibri"/>
          <w:sz w:val="22"/>
          <w:szCs w:val="22"/>
        </w:rPr>
      </w:pPr>
      <w:r w:rsidRPr="00CF4C5F">
        <w:rPr>
          <w:rFonts w:ascii="Calibri" w:hAnsi="Calibri" w:cs="Calibri"/>
          <w:sz w:val="22"/>
          <w:szCs w:val="22"/>
        </w:rPr>
        <w:t xml:space="preserve"> </w:t>
      </w:r>
      <w:r w:rsidR="00193F48" w:rsidRPr="00193F48">
        <w:rPr>
          <w:rFonts w:ascii="Calibri" w:hAnsi="Calibri" w:cs="Calibri"/>
          <w:sz w:val="22"/>
          <w:szCs w:val="22"/>
        </w:rPr>
        <w:t>AI Replication: Prompt and AI Output</w:t>
      </w:r>
    </w:p>
    <w:p w14:paraId="36F1B90D" w14:textId="77777777" w:rsidR="00F651A0" w:rsidRDefault="00F651A0" w:rsidP="00F651A0">
      <w:pPr>
        <w:pStyle w:val="ListParagraph"/>
        <w:spacing w:after="0"/>
        <w:rPr>
          <w:rFonts w:ascii="Calibri" w:hAnsi="Calibri" w:cs="Calibri"/>
          <w:sz w:val="22"/>
          <w:szCs w:val="22"/>
        </w:rPr>
      </w:pPr>
    </w:p>
    <w:p w14:paraId="4B0EB362" w14:textId="201EB0F7" w:rsidR="00F651A0" w:rsidRDefault="00F651A0" w:rsidP="00F651A0">
      <w:pPr>
        <w:pStyle w:val="ListParagraph"/>
        <w:spacing w:after="0"/>
        <w:rPr>
          <w:rFonts w:ascii="Calibri" w:hAnsi="Calibri" w:cs="Calibri"/>
          <w:sz w:val="22"/>
          <w:szCs w:val="22"/>
        </w:rPr>
      </w:pPr>
      <w:r w:rsidRPr="00F651A0">
        <w:rPr>
          <w:rFonts w:ascii="Calibri" w:hAnsi="Calibri" w:cs="Calibri"/>
          <w:noProof/>
          <w:sz w:val="22"/>
          <w:szCs w:val="22"/>
        </w:rPr>
        <w:drawing>
          <wp:inline distT="0" distB="0" distL="0" distR="0" wp14:anchorId="5477C3D4" wp14:editId="7F15F12F">
            <wp:extent cx="4996543" cy="2232430"/>
            <wp:effectExtent l="0" t="0" r="0" b="0"/>
            <wp:docPr id="20149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49746" name=""/>
                    <pic:cNvPicPr/>
                  </pic:nvPicPr>
                  <pic:blipFill>
                    <a:blip r:embed="rId5"/>
                    <a:stretch>
                      <a:fillRect/>
                    </a:stretch>
                  </pic:blipFill>
                  <pic:spPr>
                    <a:xfrm>
                      <a:off x="0" y="0"/>
                      <a:ext cx="5006659" cy="2236950"/>
                    </a:xfrm>
                    <a:prstGeom prst="rect">
                      <a:avLst/>
                    </a:prstGeom>
                  </pic:spPr>
                </pic:pic>
              </a:graphicData>
            </a:graphic>
          </wp:inline>
        </w:drawing>
      </w:r>
    </w:p>
    <w:p w14:paraId="75178B98" w14:textId="0F19E5F0" w:rsidR="00F131E2" w:rsidRDefault="00BE5602" w:rsidP="00207A7A">
      <w:pPr>
        <w:pStyle w:val="ListParagraph"/>
        <w:numPr>
          <w:ilvl w:val="0"/>
          <w:numId w:val="10"/>
        </w:numPr>
        <w:spacing w:after="0"/>
        <w:rPr>
          <w:rFonts w:ascii="Calibri" w:hAnsi="Calibri" w:cs="Calibri"/>
          <w:sz w:val="22"/>
          <w:szCs w:val="22"/>
        </w:rPr>
      </w:pPr>
      <w:r>
        <w:rPr>
          <w:rFonts w:ascii="Calibri" w:hAnsi="Calibri" w:cs="Calibri"/>
          <w:sz w:val="22"/>
          <w:szCs w:val="22"/>
        </w:rPr>
        <w:lastRenderedPageBreak/>
        <w:t>Where AI agreed with my analysis</w:t>
      </w:r>
      <w:r w:rsidR="003122D6">
        <w:rPr>
          <w:rFonts w:ascii="Calibri" w:hAnsi="Calibri" w:cs="Calibri"/>
          <w:sz w:val="22"/>
          <w:szCs w:val="22"/>
        </w:rPr>
        <w:t>:</w:t>
      </w:r>
    </w:p>
    <w:p w14:paraId="11E1281E" w14:textId="77777777" w:rsidR="004635C2" w:rsidRDefault="004635C2" w:rsidP="004635C2">
      <w:pPr>
        <w:spacing w:after="0"/>
        <w:ind w:left="360"/>
        <w:rPr>
          <w:rFonts w:ascii="Calibri" w:hAnsi="Calibri" w:cs="Calibri"/>
          <w:sz w:val="22"/>
          <w:szCs w:val="22"/>
        </w:rPr>
      </w:pPr>
    </w:p>
    <w:p w14:paraId="79968403" w14:textId="76B7E28C" w:rsidR="004635C2" w:rsidRDefault="004635C2" w:rsidP="004635C2">
      <w:pPr>
        <w:spacing w:after="0"/>
        <w:ind w:left="360"/>
        <w:rPr>
          <w:rFonts w:ascii="Calibri" w:hAnsi="Calibri" w:cs="Calibri"/>
          <w:sz w:val="22"/>
          <w:szCs w:val="22"/>
        </w:rPr>
      </w:pPr>
      <w:r w:rsidRPr="004635C2">
        <w:rPr>
          <w:rFonts w:ascii="Calibri" w:hAnsi="Calibri" w:cs="Calibri"/>
          <w:sz w:val="22"/>
          <w:szCs w:val="22"/>
        </w:rPr>
        <w:t>The AI’s assessment aligned closely with several of my key findings. It correctly identified the decline in profitability, noting the downward trend in gross margin, operating margin, and return on assets. It also recognized weakening liquidity through falling current and quick ratios, and it accurately highlighted solvency concerns by pointing to rising leverage and deteriorating interest coverage. In terms of efficiency, the AI acknowledged the significant increase in both days sales outstanding and inventory days, consistent with my own analysis of slowing collections and rising inventory levels. Finally, it agreed that negative operating cash flow and mounting working</w:t>
      </w:r>
      <w:r w:rsidRPr="004635C2">
        <w:rPr>
          <w:rFonts w:ascii="Cambria Math" w:hAnsi="Cambria Math" w:cs="Cambria Math"/>
          <w:sz w:val="22"/>
          <w:szCs w:val="22"/>
        </w:rPr>
        <w:t>‑</w:t>
      </w:r>
      <w:r w:rsidRPr="004635C2">
        <w:rPr>
          <w:rFonts w:ascii="Calibri" w:hAnsi="Calibri" w:cs="Calibri"/>
          <w:sz w:val="22"/>
          <w:szCs w:val="22"/>
        </w:rPr>
        <w:t>capital pressure represent major financial risks. Overall, the areas of agreement demonstrate that the AI captured the broad directional trends reflected in my ratio analysis and cross</w:t>
      </w:r>
      <w:r w:rsidRPr="004635C2">
        <w:rPr>
          <w:rFonts w:ascii="Cambria Math" w:hAnsi="Cambria Math" w:cs="Cambria Math"/>
          <w:sz w:val="22"/>
          <w:szCs w:val="22"/>
        </w:rPr>
        <w:t>‑</w:t>
      </w:r>
      <w:r w:rsidRPr="004635C2">
        <w:rPr>
          <w:rFonts w:ascii="Calibri" w:hAnsi="Calibri" w:cs="Calibri"/>
          <w:sz w:val="22"/>
          <w:szCs w:val="22"/>
        </w:rPr>
        <w:t>statement review.</w:t>
      </w:r>
    </w:p>
    <w:p w14:paraId="41B71D26" w14:textId="77777777" w:rsidR="00433607" w:rsidRDefault="00433607" w:rsidP="004635C2">
      <w:pPr>
        <w:spacing w:after="0"/>
        <w:ind w:left="360"/>
        <w:rPr>
          <w:rFonts w:ascii="Calibri" w:hAnsi="Calibri" w:cs="Calibri"/>
          <w:sz w:val="22"/>
          <w:szCs w:val="22"/>
        </w:rPr>
      </w:pPr>
    </w:p>
    <w:p w14:paraId="1CEF5869" w14:textId="1D4D6B6A" w:rsidR="00433607" w:rsidRDefault="00433607" w:rsidP="004635C2">
      <w:pPr>
        <w:spacing w:after="0"/>
        <w:ind w:left="360"/>
        <w:rPr>
          <w:rFonts w:ascii="Calibri" w:hAnsi="Calibri" w:cs="Calibri"/>
          <w:sz w:val="22"/>
          <w:szCs w:val="22"/>
        </w:rPr>
      </w:pPr>
      <w:r w:rsidRPr="00433607">
        <w:rPr>
          <w:rFonts w:ascii="Calibri" w:hAnsi="Calibri" w:cs="Calibri"/>
          <w:sz w:val="22"/>
          <w:szCs w:val="22"/>
        </w:rPr>
        <w:t>Where the AI Was Too Generic</w:t>
      </w:r>
      <w:r w:rsidR="003122D6">
        <w:rPr>
          <w:rFonts w:ascii="Calibri" w:hAnsi="Calibri" w:cs="Calibri"/>
          <w:sz w:val="22"/>
          <w:szCs w:val="22"/>
        </w:rPr>
        <w:t>:</w:t>
      </w:r>
    </w:p>
    <w:p w14:paraId="315B1AA4" w14:textId="77777777" w:rsidR="003122D6" w:rsidRDefault="003122D6" w:rsidP="004635C2">
      <w:pPr>
        <w:spacing w:after="0"/>
        <w:ind w:left="360"/>
        <w:rPr>
          <w:rFonts w:ascii="Calibri" w:hAnsi="Calibri" w:cs="Calibri"/>
          <w:sz w:val="22"/>
          <w:szCs w:val="22"/>
        </w:rPr>
      </w:pPr>
    </w:p>
    <w:p w14:paraId="0CD9F360" w14:textId="4026CD88" w:rsidR="003122D6" w:rsidRDefault="003122D6" w:rsidP="004635C2">
      <w:pPr>
        <w:spacing w:after="0"/>
        <w:ind w:left="360"/>
        <w:rPr>
          <w:rFonts w:ascii="Calibri" w:hAnsi="Calibri" w:cs="Calibri"/>
          <w:sz w:val="22"/>
          <w:szCs w:val="22"/>
        </w:rPr>
      </w:pPr>
      <w:r w:rsidRPr="003122D6">
        <w:rPr>
          <w:rFonts w:ascii="Calibri" w:hAnsi="Calibri" w:cs="Calibri"/>
          <w:sz w:val="22"/>
          <w:szCs w:val="22"/>
        </w:rPr>
        <w:t>Although the AI captured the broad directional trends, much of its analysis remained high</w:t>
      </w:r>
      <w:r w:rsidRPr="003122D6">
        <w:rPr>
          <w:rFonts w:ascii="Cambria Math" w:hAnsi="Cambria Math" w:cs="Cambria Math"/>
          <w:sz w:val="22"/>
          <w:szCs w:val="22"/>
        </w:rPr>
        <w:t>‑</w:t>
      </w:r>
      <w:r w:rsidRPr="003122D6">
        <w:rPr>
          <w:rFonts w:ascii="Calibri" w:hAnsi="Calibri" w:cs="Calibri"/>
          <w:sz w:val="22"/>
          <w:szCs w:val="22"/>
        </w:rPr>
        <w:t>level and lacked the specificity needed for meaningful financial interpretation. It noted that efficiency was deteriorating but did not quantify the severity of the changes, such as the doubling of days sales outstanding or the dramatic increase in inventory days. It also failed to compare the growth of receivables and inventory to the much slower growth in revenue, a critical indicator of operational strain. Several observations were presented in general terms without linking them to actual figures or explaining their implications. As a result, the AI’s output read more like a surface</w:t>
      </w:r>
      <w:r w:rsidRPr="003122D6">
        <w:rPr>
          <w:rFonts w:ascii="Cambria Math" w:hAnsi="Cambria Math" w:cs="Cambria Math"/>
          <w:sz w:val="22"/>
          <w:szCs w:val="22"/>
        </w:rPr>
        <w:t>‑</w:t>
      </w:r>
      <w:r w:rsidRPr="003122D6">
        <w:rPr>
          <w:rFonts w:ascii="Calibri" w:hAnsi="Calibri" w:cs="Calibri"/>
          <w:sz w:val="22"/>
          <w:szCs w:val="22"/>
        </w:rPr>
        <w:t>level summary than a detailed financial assessment, missing the depth required for professional analysis.</w:t>
      </w:r>
    </w:p>
    <w:p w14:paraId="41348299" w14:textId="77777777" w:rsidR="003122D6" w:rsidRDefault="003122D6" w:rsidP="004635C2">
      <w:pPr>
        <w:spacing w:after="0"/>
        <w:ind w:left="360"/>
        <w:rPr>
          <w:rFonts w:ascii="Calibri" w:hAnsi="Calibri" w:cs="Calibri"/>
          <w:sz w:val="22"/>
          <w:szCs w:val="22"/>
        </w:rPr>
      </w:pPr>
    </w:p>
    <w:p w14:paraId="3C55CCD6" w14:textId="093D5B8A" w:rsidR="003122D6" w:rsidRDefault="003122D6" w:rsidP="004635C2">
      <w:pPr>
        <w:spacing w:after="0"/>
        <w:ind w:left="360"/>
        <w:rPr>
          <w:rFonts w:ascii="Calibri" w:hAnsi="Calibri" w:cs="Calibri"/>
          <w:sz w:val="22"/>
          <w:szCs w:val="22"/>
        </w:rPr>
      </w:pPr>
      <w:r w:rsidRPr="003122D6">
        <w:rPr>
          <w:rFonts w:ascii="Calibri" w:hAnsi="Calibri" w:cs="Calibri"/>
          <w:sz w:val="22"/>
          <w:szCs w:val="22"/>
        </w:rPr>
        <w:t>Where the AI Missed Financial Nuance</w:t>
      </w:r>
      <w:r>
        <w:rPr>
          <w:rFonts w:ascii="Calibri" w:hAnsi="Calibri" w:cs="Calibri"/>
          <w:sz w:val="22"/>
          <w:szCs w:val="22"/>
        </w:rPr>
        <w:t>:</w:t>
      </w:r>
    </w:p>
    <w:p w14:paraId="5B177896" w14:textId="77777777" w:rsidR="003122D6" w:rsidRDefault="003122D6" w:rsidP="004635C2">
      <w:pPr>
        <w:spacing w:after="0"/>
        <w:ind w:left="360"/>
        <w:rPr>
          <w:rFonts w:ascii="Calibri" w:hAnsi="Calibri" w:cs="Calibri"/>
          <w:sz w:val="22"/>
          <w:szCs w:val="22"/>
        </w:rPr>
      </w:pPr>
    </w:p>
    <w:p w14:paraId="19186BC6" w14:textId="17ED605B" w:rsidR="003122D6" w:rsidRDefault="001C4D38" w:rsidP="004635C2">
      <w:pPr>
        <w:spacing w:after="0"/>
        <w:ind w:left="360"/>
        <w:rPr>
          <w:rFonts w:ascii="Calibri" w:hAnsi="Calibri" w:cs="Calibri"/>
          <w:sz w:val="22"/>
          <w:szCs w:val="22"/>
        </w:rPr>
      </w:pPr>
      <w:r w:rsidRPr="001C4D38">
        <w:rPr>
          <w:rFonts w:ascii="Calibri" w:hAnsi="Calibri" w:cs="Calibri"/>
          <w:sz w:val="22"/>
          <w:szCs w:val="22"/>
        </w:rPr>
        <w:t>Beyond being generic, the AI overlooked several important nuances that materially affect the interpretation of Maple Leaf’s financial condition. It did not identify the intentional inconsistency in the working</w:t>
      </w:r>
      <w:r w:rsidRPr="001C4D38">
        <w:rPr>
          <w:rFonts w:ascii="Cambria Math" w:hAnsi="Cambria Math" w:cs="Cambria Math"/>
          <w:sz w:val="22"/>
          <w:szCs w:val="22"/>
        </w:rPr>
        <w:t>‑</w:t>
      </w:r>
      <w:r w:rsidRPr="001C4D38">
        <w:rPr>
          <w:rFonts w:ascii="Calibri" w:hAnsi="Calibri" w:cs="Calibri"/>
          <w:sz w:val="22"/>
          <w:szCs w:val="22"/>
        </w:rPr>
        <w:t>capital reconciliation, a key data</w:t>
      </w:r>
      <w:r w:rsidRPr="001C4D38">
        <w:rPr>
          <w:rFonts w:ascii="Cambria Math" w:hAnsi="Cambria Math" w:cs="Cambria Math"/>
          <w:sz w:val="22"/>
          <w:szCs w:val="22"/>
        </w:rPr>
        <w:t>‑</w:t>
      </w:r>
      <w:r w:rsidRPr="001C4D38">
        <w:rPr>
          <w:rFonts w:ascii="Calibri" w:hAnsi="Calibri" w:cs="Calibri"/>
          <w:sz w:val="22"/>
          <w:szCs w:val="22"/>
        </w:rPr>
        <w:t>integrity issue that undermines confidence in the cash</w:t>
      </w:r>
      <w:r w:rsidRPr="001C4D38">
        <w:rPr>
          <w:rFonts w:ascii="Cambria Math" w:hAnsi="Cambria Math" w:cs="Cambria Math"/>
          <w:sz w:val="22"/>
          <w:szCs w:val="22"/>
        </w:rPr>
        <w:t>‑</w:t>
      </w:r>
      <w:r w:rsidRPr="001C4D38">
        <w:rPr>
          <w:rFonts w:ascii="Calibri" w:hAnsi="Calibri" w:cs="Calibri"/>
          <w:sz w:val="22"/>
          <w:szCs w:val="22"/>
        </w:rPr>
        <w:t>flow statement. It also failed to recognize the volatility of the 2024 performance spike or question whether the improvement was sustainable. The AI did not address the earnings</w:t>
      </w:r>
      <w:r w:rsidRPr="001C4D38">
        <w:rPr>
          <w:rFonts w:ascii="Cambria Math" w:hAnsi="Cambria Math" w:cs="Cambria Math"/>
          <w:sz w:val="22"/>
          <w:szCs w:val="22"/>
        </w:rPr>
        <w:t>‑</w:t>
      </w:r>
      <w:r w:rsidRPr="001C4D38">
        <w:rPr>
          <w:rFonts w:ascii="Calibri" w:hAnsi="Calibri" w:cs="Calibri"/>
          <w:sz w:val="22"/>
          <w:szCs w:val="22"/>
        </w:rPr>
        <w:t>quality concern created by profits that do not convert into cash, nor did it highlight the disproportionate growth of receivables and inventory relative to revenue. Most critically, it did not connect negative operating cash flow with rising leverage, a combination that significantly elevates solvency risk. These omissions show that while AI can summarize trends, it does not reliably detect deeper structural issues or interpret the economic significance behind the numbers.</w:t>
      </w:r>
    </w:p>
    <w:p w14:paraId="2E83D9B2" w14:textId="77777777" w:rsidR="009C7EAA" w:rsidRDefault="009C7EAA" w:rsidP="004635C2">
      <w:pPr>
        <w:spacing w:after="0"/>
        <w:ind w:left="360"/>
        <w:rPr>
          <w:rFonts w:ascii="Calibri" w:hAnsi="Calibri" w:cs="Calibri"/>
          <w:sz w:val="22"/>
          <w:szCs w:val="22"/>
        </w:rPr>
      </w:pPr>
    </w:p>
    <w:p w14:paraId="184B6A5C" w14:textId="1438F436" w:rsidR="009C7EAA" w:rsidRDefault="003457FE" w:rsidP="004635C2">
      <w:pPr>
        <w:spacing w:after="0"/>
        <w:ind w:left="360"/>
        <w:rPr>
          <w:rFonts w:ascii="Calibri" w:hAnsi="Calibri" w:cs="Calibri"/>
          <w:sz w:val="22"/>
          <w:szCs w:val="22"/>
        </w:rPr>
      </w:pPr>
      <w:r w:rsidRPr="003457FE">
        <w:rPr>
          <w:rFonts w:ascii="Calibri" w:hAnsi="Calibri" w:cs="Calibri"/>
          <w:sz w:val="22"/>
          <w:szCs w:val="22"/>
        </w:rPr>
        <w:t>In several areas, the AI’s conclusions were not only incomplete but also somewhat misleading. It described Maple Leaf’s liquidity position as “adequate but weakening,” which significantly understates the severity of the issue given that the quick ratio falls below one and operating cash flow is negative in multiple years. This characterization ignores the fact that the company is increasingly dependent on short</w:t>
      </w:r>
      <w:r w:rsidRPr="003457FE">
        <w:rPr>
          <w:rFonts w:ascii="Cambria Math" w:hAnsi="Cambria Math" w:cs="Cambria Math"/>
          <w:sz w:val="22"/>
          <w:szCs w:val="22"/>
        </w:rPr>
        <w:t>‑</w:t>
      </w:r>
      <w:r w:rsidRPr="003457FE">
        <w:rPr>
          <w:rFonts w:ascii="Calibri" w:hAnsi="Calibri" w:cs="Calibri"/>
          <w:sz w:val="22"/>
          <w:szCs w:val="22"/>
        </w:rPr>
        <w:t xml:space="preserve">term debt to fund basic operations. The AI also failed to question </w:t>
      </w:r>
      <w:r w:rsidRPr="003457FE">
        <w:rPr>
          <w:rFonts w:ascii="Calibri" w:hAnsi="Calibri" w:cs="Calibri"/>
          <w:sz w:val="22"/>
          <w:szCs w:val="22"/>
        </w:rPr>
        <w:lastRenderedPageBreak/>
        <w:t>the reliability of the underlying data, even though the working</w:t>
      </w:r>
      <w:r w:rsidRPr="003457FE">
        <w:rPr>
          <w:rFonts w:ascii="Cambria Math" w:hAnsi="Cambria Math" w:cs="Cambria Math"/>
          <w:sz w:val="22"/>
          <w:szCs w:val="22"/>
        </w:rPr>
        <w:t>‑</w:t>
      </w:r>
      <w:r w:rsidRPr="003457FE">
        <w:rPr>
          <w:rFonts w:ascii="Calibri" w:hAnsi="Calibri" w:cs="Calibri"/>
          <w:sz w:val="22"/>
          <w:szCs w:val="22"/>
        </w:rPr>
        <w:t>capital reconciliation contains inconsistencies that directly affect the accuracy of cash</w:t>
      </w:r>
      <w:r w:rsidRPr="003457FE">
        <w:rPr>
          <w:rFonts w:ascii="Cambria Math" w:hAnsi="Cambria Math" w:cs="Cambria Math"/>
          <w:sz w:val="22"/>
          <w:szCs w:val="22"/>
        </w:rPr>
        <w:t>‑</w:t>
      </w:r>
      <w:r w:rsidRPr="003457FE">
        <w:rPr>
          <w:rFonts w:ascii="Calibri" w:hAnsi="Calibri" w:cs="Calibri"/>
          <w:sz w:val="22"/>
          <w:szCs w:val="22"/>
        </w:rPr>
        <w:t>flow reporting. In addition, it treated the financial trends as linear and did not consider the structural deterioration implied by the combination of rising leverage, falling interest coverage, and declining cash generation. By oversimplifying these issues, the AI’s assessment risks giving a false sense of stability in areas where the company is experiencing significant financial strain.</w:t>
      </w:r>
    </w:p>
    <w:p w14:paraId="7D591F4F" w14:textId="77777777" w:rsidR="00FD05F9" w:rsidRDefault="00FD05F9" w:rsidP="004635C2">
      <w:pPr>
        <w:spacing w:after="0"/>
        <w:ind w:left="360"/>
        <w:rPr>
          <w:rFonts w:ascii="Calibri" w:hAnsi="Calibri" w:cs="Calibri"/>
          <w:sz w:val="22"/>
          <w:szCs w:val="22"/>
        </w:rPr>
      </w:pPr>
    </w:p>
    <w:p w14:paraId="7AC44570" w14:textId="26A97BCF" w:rsidR="00FD05F9" w:rsidRDefault="00FD05F9" w:rsidP="004635C2">
      <w:pPr>
        <w:spacing w:after="0"/>
        <w:ind w:left="360"/>
        <w:rPr>
          <w:rFonts w:ascii="Calibri" w:hAnsi="Calibri" w:cs="Calibri"/>
          <w:sz w:val="22"/>
          <w:szCs w:val="22"/>
        </w:rPr>
      </w:pPr>
      <w:r>
        <w:rPr>
          <w:rFonts w:ascii="Calibri" w:hAnsi="Calibri" w:cs="Calibri"/>
          <w:sz w:val="22"/>
          <w:szCs w:val="22"/>
        </w:rPr>
        <w:t xml:space="preserve">In conclusion, </w:t>
      </w:r>
      <w:r w:rsidRPr="00FD05F9">
        <w:rPr>
          <w:rFonts w:ascii="Calibri" w:hAnsi="Calibri" w:cs="Calibri"/>
          <w:sz w:val="22"/>
          <w:szCs w:val="22"/>
        </w:rPr>
        <w:t>I would not recommend Maple Leaf LLC to a client or investor at this time. Despite periods of acceptable reported profitability, the company’s persistent negative operating cash flow, rapid and disproportionate growth in receivables and inventory, rising leverage, and weakening interest coverage indicate a fragile financial position. These issues, combined with data inconsistencies in the working</w:t>
      </w:r>
      <w:r w:rsidRPr="00FD05F9">
        <w:rPr>
          <w:rFonts w:ascii="Cambria Math" w:hAnsi="Cambria Math" w:cs="Cambria Math"/>
          <w:sz w:val="22"/>
          <w:szCs w:val="22"/>
        </w:rPr>
        <w:t>‑</w:t>
      </w:r>
      <w:r w:rsidRPr="00FD05F9">
        <w:rPr>
          <w:rFonts w:ascii="Calibri" w:hAnsi="Calibri" w:cs="Calibri"/>
          <w:sz w:val="22"/>
          <w:szCs w:val="22"/>
        </w:rPr>
        <w:t>capital reconciliation, raise concerns about both earnings</w:t>
      </w:r>
      <w:r w:rsidR="00274CB5">
        <w:rPr>
          <w:rFonts w:ascii="Calibri" w:hAnsi="Calibri" w:cs="Calibri"/>
          <w:sz w:val="22"/>
          <w:szCs w:val="22"/>
        </w:rPr>
        <w:t>’</w:t>
      </w:r>
      <w:r>
        <w:rPr>
          <w:rFonts w:ascii="Calibri" w:hAnsi="Calibri" w:cs="Calibri"/>
          <w:sz w:val="22"/>
          <w:szCs w:val="22"/>
        </w:rPr>
        <w:t xml:space="preserve"> </w:t>
      </w:r>
      <w:r w:rsidRPr="00FD05F9">
        <w:rPr>
          <w:rFonts w:ascii="Calibri" w:hAnsi="Calibri" w:cs="Calibri"/>
          <w:sz w:val="22"/>
          <w:szCs w:val="22"/>
        </w:rPr>
        <w:t>quality and the reliability of the reported figures. Until Maple Leaf demonstrates sustained improvements in cash generation, tighter working</w:t>
      </w:r>
      <w:r w:rsidRPr="00FD05F9">
        <w:rPr>
          <w:rFonts w:ascii="Cambria Math" w:hAnsi="Cambria Math" w:cs="Cambria Math"/>
          <w:sz w:val="22"/>
          <w:szCs w:val="22"/>
        </w:rPr>
        <w:t>‑</w:t>
      </w:r>
      <w:r w:rsidRPr="00FD05F9">
        <w:rPr>
          <w:rFonts w:ascii="Calibri" w:hAnsi="Calibri" w:cs="Calibri"/>
          <w:sz w:val="22"/>
          <w:szCs w:val="22"/>
        </w:rPr>
        <w:t>capital discipline, and a more conservative capital structure, the overall risk profile remains too high for a prudent investment recommendation.</w:t>
      </w:r>
    </w:p>
    <w:p w14:paraId="68974A92" w14:textId="77777777" w:rsidR="007521B7" w:rsidRDefault="007521B7" w:rsidP="004635C2">
      <w:pPr>
        <w:spacing w:after="0"/>
        <w:ind w:left="360"/>
        <w:rPr>
          <w:rFonts w:ascii="Calibri" w:hAnsi="Calibri" w:cs="Calibri"/>
          <w:sz w:val="22"/>
          <w:szCs w:val="22"/>
        </w:rPr>
      </w:pPr>
    </w:p>
    <w:p w14:paraId="2665A34E" w14:textId="4CD913E3" w:rsidR="007521B7" w:rsidRDefault="007521B7" w:rsidP="004635C2">
      <w:pPr>
        <w:spacing w:after="0"/>
        <w:ind w:left="360"/>
        <w:rPr>
          <w:rFonts w:ascii="Calibri" w:hAnsi="Calibri" w:cs="Calibri"/>
          <w:sz w:val="22"/>
          <w:szCs w:val="22"/>
        </w:rPr>
      </w:pPr>
      <w:r>
        <w:rPr>
          <w:rFonts w:ascii="Calibri" w:hAnsi="Calibri" w:cs="Calibri"/>
          <w:sz w:val="22"/>
          <w:szCs w:val="22"/>
        </w:rPr>
        <w:t>Q4. Data integrity and consistency Issues</w:t>
      </w:r>
    </w:p>
    <w:p w14:paraId="373C4AFE" w14:textId="77777777" w:rsidR="007521B7" w:rsidRDefault="007521B7" w:rsidP="004635C2">
      <w:pPr>
        <w:spacing w:after="0"/>
        <w:ind w:left="360"/>
        <w:rPr>
          <w:rFonts w:ascii="Calibri" w:hAnsi="Calibri" w:cs="Calibri"/>
          <w:sz w:val="22"/>
          <w:szCs w:val="22"/>
        </w:rPr>
      </w:pPr>
    </w:p>
    <w:p w14:paraId="3E45E011" w14:textId="28C07A47" w:rsidR="00CE5648" w:rsidRPr="006020A4" w:rsidRDefault="001F5C2F" w:rsidP="006020A4">
      <w:pPr>
        <w:pStyle w:val="ListParagraph"/>
        <w:numPr>
          <w:ilvl w:val="0"/>
          <w:numId w:val="13"/>
        </w:numPr>
        <w:spacing w:after="0"/>
        <w:rPr>
          <w:rFonts w:ascii="Calibri" w:hAnsi="Calibri" w:cs="Calibri"/>
          <w:sz w:val="22"/>
          <w:szCs w:val="22"/>
        </w:rPr>
      </w:pPr>
      <w:r w:rsidRPr="006020A4">
        <w:rPr>
          <w:rFonts w:ascii="Calibri" w:hAnsi="Calibri" w:cs="Calibri"/>
          <w:sz w:val="22"/>
          <w:szCs w:val="22"/>
        </w:rPr>
        <w:t>Data integrity and Consistency Issues</w:t>
      </w:r>
    </w:p>
    <w:p w14:paraId="2F2804F5" w14:textId="77777777" w:rsidR="001F5C2F" w:rsidRDefault="001F5C2F" w:rsidP="001F5C2F">
      <w:pPr>
        <w:spacing w:after="0"/>
        <w:ind w:left="360"/>
        <w:rPr>
          <w:rFonts w:ascii="Calibri" w:hAnsi="Calibri" w:cs="Calibri"/>
          <w:sz w:val="22"/>
          <w:szCs w:val="22"/>
        </w:rPr>
      </w:pPr>
    </w:p>
    <w:p w14:paraId="3AF35B74" w14:textId="06DE88C0" w:rsidR="001F5C2F" w:rsidRDefault="00E4060A" w:rsidP="00E4060A">
      <w:pPr>
        <w:pStyle w:val="ListParagraph"/>
        <w:numPr>
          <w:ilvl w:val="0"/>
          <w:numId w:val="12"/>
        </w:numPr>
        <w:spacing w:after="0"/>
        <w:rPr>
          <w:rFonts w:ascii="Calibri" w:hAnsi="Calibri" w:cs="Calibri"/>
          <w:sz w:val="22"/>
          <w:szCs w:val="22"/>
        </w:rPr>
      </w:pPr>
      <w:r>
        <w:rPr>
          <w:rFonts w:ascii="Calibri" w:hAnsi="Calibri" w:cs="Calibri"/>
          <w:sz w:val="22"/>
          <w:szCs w:val="22"/>
        </w:rPr>
        <w:t>Working-Capital reconciliation does not match the Balance Sheet movements</w:t>
      </w:r>
    </w:p>
    <w:p w14:paraId="6DDF398C" w14:textId="330A21F6" w:rsidR="00EE10AE" w:rsidRDefault="00667ACD" w:rsidP="00667ACD">
      <w:pPr>
        <w:pStyle w:val="ListParagraph"/>
        <w:spacing w:after="0"/>
        <w:ind w:left="1080"/>
        <w:rPr>
          <w:rFonts w:ascii="Calibri" w:hAnsi="Calibri" w:cs="Calibri"/>
          <w:sz w:val="22"/>
          <w:szCs w:val="22"/>
        </w:rPr>
      </w:pPr>
      <w:r w:rsidRPr="00667ACD">
        <w:rPr>
          <w:rFonts w:ascii="Calibri" w:hAnsi="Calibri" w:cs="Calibri"/>
          <w:sz w:val="22"/>
          <w:szCs w:val="22"/>
        </w:rPr>
        <w:t>The cash</w:t>
      </w:r>
      <w:r w:rsidRPr="00667ACD">
        <w:rPr>
          <w:rFonts w:ascii="Cambria Math" w:hAnsi="Cambria Math" w:cs="Cambria Math"/>
          <w:sz w:val="22"/>
          <w:szCs w:val="22"/>
        </w:rPr>
        <w:t>‑</w:t>
      </w:r>
      <w:r w:rsidRPr="00667ACD">
        <w:rPr>
          <w:rFonts w:ascii="Calibri" w:hAnsi="Calibri" w:cs="Calibri"/>
          <w:sz w:val="22"/>
          <w:szCs w:val="22"/>
        </w:rPr>
        <w:t>flow statement reports a 2022 working</w:t>
      </w:r>
      <w:r w:rsidRPr="00667ACD">
        <w:rPr>
          <w:rFonts w:ascii="Cambria Math" w:hAnsi="Cambria Math" w:cs="Cambria Math"/>
          <w:sz w:val="22"/>
          <w:szCs w:val="22"/>
        </w:rPr>
        <w:t>‑</w:t>
      </w:r>
      <w:r w:rsidRPr="00667ACD">
        <w:rPr>
          <w:rFonts w:ascii="Calibri" w:hAnsi="Calibri" w:cs="Calibri"/>
          <w:sz w:val="22"/>
          <w:szCs w:val="22"/>
        </w:rPr>
        <w:t>capital change of –65, but the balance</w:t>
      </w:r>
      <w:r w:rsidRPr="00667ACD">
        <w:rPr>
          <w:rFonts w:ascii="Cambria Math" w:hAnsi="Cambria Math" w:cs="Cambria Math"/>
          <w:sz w:val="22"/>
          <w:szCs w:val="22"/>
        </w:rPr>
        <w:t>‑</w:t>
      </w:r>
      <w:r w:rsidRPr="00667ACD">
        <w:rPr>
          <w:rFonts w:ascii="Calibri" w:hAnsi="Calibri" w:cs="Calibri"/>
          <w:sz w:val="22"/>
          <w:szCs w:val="22"/>
        </w:rPr>
        <w:t>sheet movements imply a different figure. In 2022, accounts receivable increased by 30 (80 → 110), inventory increased by 40 (85 → 125), accounts payable increased by 5 (55 → 60), and other current liabilities increased by 2 (22 → 24). These movements translate to an expected working</w:t>
      </w:r>
      <w:r w:rsidRPr="00667ACD">
        <w:rPr>
          <w:rFonts w:ascii="Cambria Math" w:hAnsi="Cambria Math" w:cs="Cambria Math"/>
          <w:sz w:val="22"/>
          <w:szCs w:val="22"/>
        </w:rPr>
        <w:t>‑</w:t>
      </w:r>
      <w:r w:rsidRPr="00667ACD">
        <w:rPr>
          <w:rFonts w:ascii="Calibri" w:hAnsi="Calibri" w:cs="Calibri"/>
          <w:sz w:val="22"/>
          <w:szCs w:val="22"/>
        </w:rPr>
        <w:t>capital outflow of –63, not –65. Even a small mismatch indicates that the CFO figure may not be fully reliable.</w:t>
      </w:r>
    </w:p>
    <w:p w14:paraId="527BAF0F" w14:textId="77777777" w:rsidR="00F952FF" w:rsidRDefault="00F952FF" w:rsidP="00667ACD">
      <w:pPr>
        <w:pStyle w:val="ListParagraph"/>
        <w:spacing w:after="0"/>
        <w:ind w:left="1080"/>
        <w:rPr>
          <w:rFonts w:ascii="Calibri" w:hAnsi="Calibri" w:cs="Calibri"/>
          <w:sz w:val="22"/>
          <w:szCs w:val="22"/>
        </w:rPr>
      </w:pPr>
    </w:p>
    <w:p w14:paraId="54C9BFD3" w14:textId="5CB8D6C4" w:rsidR="00F952FF" w:rsidRDefault="00F952FF" w:rsidP="00F952FF">
      <w:pPr>
        <w:pStyle w:val="ListParagraph"/>
        <w:numPr>
          <w:ilvl w:val="0"/>
          <w:numId w:val="12"/>
        </w:numPr>
        <w:spacing w:after="0"/>
        <w:rPr>
          <w:rFonts w:ascii="Calibri" w:hAnsi="Calibri" w:cs="Calibri"/>
          <w:sz w:val="22"/>
          <w:szCs w:val="22"/>
        </w:rPr>
      </w:pPr>
      <w:r w:rsidRPr="00F952FF">
        <w:rPr>
          <w:rFonts w:ascii="Calibri" w:hAnsi="Calibri" w:cs="Calibri"/>
          <w:sz w:val="22"/>
          <w:szCs w:val="22"/>
        </w:rPr>
        <w:t>Depreciation, capex, and PPE movements are not fully consistent</w:t>
      </w:r>
    </w:p>
    <w:p w14:paraId="2B410F70" w14:textId="4B6659E6" w:rsidR="00F952FF" w:rsidRDefault="00F952FF" w:rsidP="00F952FF">
      <w:pPr>
        <w:pStyle w:val="ListParagraph"/>
        <w:spacing w:after="0"/>
        <w:ind w:left="1080"/>
        <w:rPr>
          <w:rFonts w:ascii="Calibri" w:hAnsi="Calibri" w:cs="Calibri"/>
          <w:sz w:val="22"/>
          <w:szCs w:val="22"/>
        </w:rPr>
      </w:pPr>
      <w:r w:rsidRPr="00F952FF">
        <w:rPr>
          <w:rFonts w:ascii="Calibri" w:hAnsi="Calibri" w:cs="Calibri"/>
          <w:sz w:val="22"/>
          <w:szCs w:val="22"/>
        </w:rPr>
        <w:t xml:space="preserve">Across 2020–2025, total depreciation expense is 126, and total capex is 195, implying a net PPE increase of roughly 69. However, PPE rises from 180 to 255, an increase of 75, with no disposals disclosed. This suggests incomplete PPE </w:t>
      </w:r>
      <w:r w:rsidRPr="00F952FF">
        <w:rPr>
          <w:rFonts w:ascii="Calibri" w:hAnsi="Calibri" w:cs="Calibri"/>
          <w:sz w:val="22"/>
          <w:szCs w:val="22"/>
        </w:rPr>
        <w:t>roll forward</w:t>
      </w:r>
      <w:r w:rsidRPr="00F952FF">
        <w:rPr>
          <w:rFonts w:ascii="Calibri" w:hAnsi="Calibri" w:cs="Calibri"/>
          <w:sz w:val="22"/>
          <w:szCs w:val="22"/>
        </w:rPr>
        <w:t xml:space="preserve"> information or missing adjustments.</w:t>
      </w:r>
    </w:p>
    <w:p w14:paraId="3932F8D7" w14:textId="77777777" w:rsidR="001A4C1B" w:rsidRDefault="001A4C1B" w:rsidP="00F952FF">
      <w:pPr>
        <w:pStyle w:val="ListParagraph"/>
        <w:spacing w:after="0"/>
        <w:ind w:left="1080"/>
        <w:rPr>
          <w:rFonts w:ascii="Calibri" w:hAnsi="Calibri" w:cs="Calibri"/>
          <w:sz w:val="22"/>
          <w:szCs w:val="22"/>
        </w:rPr>
      </w:pPr>
    </w:p>
    <w:p w14:paraId="424AE9EB" w14:textId="56144A1B" w:rsidR="001A4C1B" w:rsidRDefault="001A4C1B" w:rsidP="001A4C1B">
      <w:pPr>
        <w:pStyle w:val="ListParagraph"/>
        <w:numPr>
          <w:ilvl w:val="0"/>
          <w:numId w:val="12"/>
        </w:numPr>
        <w:spacing w:after="0"/>
        <w:rPr>
          <w:rFonts w:ascii="Calibri" w:hAnsi="Calibri" w:cs="Calibri"/>
          <w:sz w:val="22"/>
          <w:szCs w:val="22"/>
        </w:rPr>
      </w:pPr>
      <w:r w:rsidRPr="001A4C1B">
        <w:rPr>
          <w:rFonts w:ascii="Calibri" w:hAnsi="Calibri" w:cs="Calibri"/>
          <w:sz w:val="22"/>
          <w:szCs w:val="22"/>
        </w:rPr>
        <w:t xml:space="preserve">Retained earnings do not reconcile with net income and dividends  </w:t>
      </w:r>
    </w:p>
    <w:p w14:paraId="3A9DD855" w14:textId="11268208" w:rsidR="0088758C" w:rsidRDefault="001A4C1B" w:rsidP="001A4C1B">
      <w:pPr>
        <w:pStyle w:val="ListParagraph"/>
        <w:spacing w:after="0"/>
        <w:ind w:left="1080"/>
        <w:rPr>
          <w:rFonts w:ascii="Calibri" w:hAnsi="Calibri" w:cs="Calibri"/>
          <w:sz w:val="22"/>
          <w:szCs w:val="22"/>
        </w:rPr>
      </w:pPr>
      <w:r w:rsidRPr="001A4C1B">
        <w:rPr>
          <w:rFonts w:ascii="Calibri" w:hAnsi="Calibri" w:cs="Calibri"/>
          <w:sz w:val="22"/>
          <w:szCs w:val="22"/>
        </w:rPr>
        <w:t xml:space="preserve">Retained earnings should follow beginning RE + net income </w:t>
      </w:r>
      <w:r w:rsidR="00594313">
        <w:rPr>
          <w:rFonts w:ascii="Calibri" w:hAnsi="Calibri" w:cs="Calibri"/>
          <w:sz w:val="22"/>
          <w:szCs w:val="22"/>
        </w:rPr>
        <w:t>-</w:t>
      </w:r>
      <w:r w:rsidRPr="001A4C1B">
        <w:rPr>
          <w:rFonts w:ascii="Calibri" w:hAnsi="Calibri" w:cs="Calibri"/>
          <w:sz w:val="22"/>
          <w:szCs w:val="22"/>
        </w:rPr>
        <w:t xml:space="preserve"> dividends, but several years do not align. In 2022, beginning retained earnings were 77, net income was 25, and dividends were 12, implying an ending balance of 90. Instead, retained earnings rise to 105, leaving an unexplained 15</w:t>
      </w:r>
      <w:r w:rsidRPr="001A4C1B">
        <w:rPr>
          <w:rFonts w:ascii="Cambria Math" w:hAnsi="Cambria Math" w:cs="Cambria Math"/>
          <w:sz w:val="22"/>
          <w:szCs w:val="22"/>
        </w:rPr>
        <w:t>‑</w:t>
      </w:r>
      <w:r w:rsidRPr="001A4C1B">
        <w:rPr>
          <w:rFonts w:ascii="Calibri" w:hAnsi="Calibri" w:cs="Calibri"/>
          <w:sz w:val="22"/>
          <w:szCs w:val="22"/>
        </w:rPr>
        <w:t>million difference. This indicates potential omissions or misclassifications in equity movements.</w:t>
      </w:r>
    </w:p>
    <w:p w14:paraId="0D571F90" w14:textId="77777777" w:rsidR="0088758C" w:rsidRDefault="0088758C">
      <w:pPr>
        <w:rPr>
          <w:rFonts w:ascii="Calibri" w:hAnsi="Calibri" w:cs="Calibri"/>
          <w:sz w:val="22"/>
          <w:szCs w:val="22"/>
        </w:rPr>
      </w:pPr>
      <w:r>
        <w:rPr>
          <w:rFonts w:ascii="Calibri" w:hAnsi="Calibri" w:cs="Calibri"/>
          <w:sz w:val="22"/>
          <w:szCs w:val="22"/>
        </w:rPr>
        <w:br w:type="page"/>
      </w:r>
    </w:p>
    <w:p w14:paraId="04FDA16D" w14:textId="77777777" w:rsidR="001A4C1B" w:rsidRDefault="001A4C1B" w:rsidP="001A4C1B">
      <w:pPr>
        <w:pStyle w:val="ListParagraph"/>
        <w:spacing w:after="0"/>
        <w:ind w:left="1080"/>
        <w:rPr>
          <w:rFonts w:ascii="Calibri" w:hAnsi="Calibri" w:cs="Calibri"/>
          <w:sz w:val="22"/>
          <w:szCs w:val="22"/>
        </w:rPr>
      </w:pPr>
    </w:p>
    <w:p w14:paraId="6C3FF969" w14:textId="32DA95D2" w:rsidR="006020A4" w:rsidRDefault="006020A4" w:rsidP="006020A4">
      <w:pPr>
        <w:pStyle w:val="ListParagraph"/>
        <w:numPr>
          <w:ilvl w:val="0"/>
          <w:numId w:val="13"/>
        </w:numPr>
        <w:spacing w:after="0"/>
        <w:rPr>
          <w:rFonts w:ascii="Calibri" w:hAnsi="Calibri" w:cs="Calibri"/>
          <w:sz w:val="22"/>
          <w:szCs w:val="22"/>
        </w:rPr>
      </w:pPr>
      <w:r>
        <w:rPr>
          <w:rFonts w:ascii="Calibri" w:hAnsi="Calibri" w:cs="Calibri"/>
          <w:sz w:val="22"/>
          <w:szCs w:val="22"/>
        </w:rPr>
        <w:t>Wh</w:t>
      </w:r>
      <w:r w:rsidR="0088758C">
        <w:rPr>
          <w:rFonts w:ascii="Calibri" w:hAnsi="Calibri" w:cs="Calibri"/>
          <w:sz w:val="22"/>
          <w:szCs w:val="22"/>
        </w:rPr>
        <w:t>y each issue represents a concern in accounting or financial analysis perspective</w:t>
      </w:r>
    </w:p>
    <w:p w14:paraId="783CC705" w14:textId="54EB229C" w:rsidR="0088758C" w:rsidRPr="0020271D" w:rsidRDefault="00F86F7E" w:rsidP="00050376">
      <w:pPr>
        <w:spacing w:after="0"/>
        <w:ind w:left="720"/>
        <w:rPr>
          <w:rFonts w:ascii="Calibri" w:hAnsi="Calibri" w:cs="Calibri"/>
          <w:sz w:val="22"/>
          <w:szCs w:val="22"/>
        </w:rPr>
      </w:pPr>
      <w:r w:rsidRPr="0020271D">
        <w:rPr>
          <w:rFonts w:ascii="Calibri" w:hAnsi="Calibri" w:cs="Calibri"/>
          <w:sz w:val="22"/>
          <w:szCs w:val="22"/>
        </w:rPr>
        <w:t>These inconsistencies undermine confidence in the financial statements. A mismatch in working</w:t>
      </w:r>
      <w:r w:rsidRPr="0020271D">
        <w:rPr>
          <w:rFonts w:ascii="Cambria Math" w:hAnsi="Cambria Math" w:cs="Cambria Math"/>
          <w:sz w:val="22"/>
          <w:szCs w:val="22"/>
        </w:rPr>
        <w:t>‑</w:t>
      </w:r>
      <w:r w:rsidRPr="0020271D">
        <w:rPr>
          <w:rFonts w:ascii="Calibri" w:hAnsi="Calibri" w:cs="Calibri"/>
          <w:sz w:val="22"/>
          <w:szCs w:val="22"/>
        </w:rPr>
        <w:t xml:space="preserve">capital adjustments raises concerns about the accuracy of operating cash flow, which is central to liquidity and solvency analysis. Inconsistent PPE movements suggest that depreciation, </w:t>
      </w:r>
      <w:r w:rsidR="00EA00CA" w:rsidRPr="0020271D">
        <w:rPr>
          <w:rFonts w:ascii="Calibri" w:hAnsi="Calibri" w:cs="Calibri"/>
          <w:sz w:val="22"/>
          <w:szCs w:val="22"/>
        </w:rPr>
        <w:t>Capital Expenditures</w:t>
      </w:r>
      <w:r w:rsidRPr="0020271D">
        <w:rPr>
          <w:rFonts w:ascii="Calibri" w:hAnsi="Calibri" w:cs="Calibri"/>
          <w:sz w:val="22"/>
          <w:szCs w:val="22"/>
        </w:rPr>
        <w:t>, or asset disposals may not be properly recorded, affecting asset valuation and long</w:t>
      </w:r>
      <w:r w:rsidRPr="0020271D">
        <w:rPr>
          <w:rFonts w:ascii="Cambria Math" w:hAnsi="Cambria Math" w:cs="Cambria Math"/>
          <w:sz w:val="22"/>
          <w:szCs w:val="22"/>
        </w:rPr>
        <w:t>‑</w:t>
      </w:r>
      <w:r w:rsidRPr="0020271D">
        <w:rPr>
          <w:rFonts w:ascii="Calibri" w:hAnsi="Calibri" w:cs="Calibri"/>
          <w:sz w:val="22"/>
          <w:szCs w:val="22"/>
        </w:rPr>
        <w:t>term investment analysis. Retained</w:t>
      </w:r>
      <w:r w:rsidRPr="0020271D">
        <w:rPr>
          <w:rFonts w:ascii="Cambria Math" w:hAnsi="Cambria Math" w:cs="Cambria Math"/>
          <w:sz w:val="22"/>
          <w:szCs w:val="22"/>
        </w:rPr>
        <w:t>‑</w:t>
      </w:r>
      <w:r w:rsidRPr="0020271D">
        <w:rPr>
          <w:rFonts w:ascii="Calibri" w:hAnsi="Calibri" w:cs="Calibri"/>
          <w:sz w:val="22"/>
          <w:szCs w:val="22"/>
        </w:rPr>
        <w:t>earnings discrepancies imply that net income or dividends may be misstated, which directly affects profitability assessment and equity valuation. From an accounting perspective, these issues indicate incomplete accrual adjustments or missing supporting schedules. From an analytical perspective, they reduce the reliability of any ratio</w:t>
      </w:r>
      <w:r w:rsidRPr="0020271D">
        <w:rPr>
          <w:rFonts w:ascii="Cambria Math" w:hAnsi="Cambria Math" w:cs="Cambria Math"/>
          <w:sz w:val="22"/>
          <w:szCs w:val="22"/>
        </w:rPr>
        <w:t>‑</w:t>
      </w:r>
      <w:r w:rsidRPr="0020271D">
        <w:rPr>
          <w:rFonts w:ascii="Calibri" w:hAnsi="Calibri" w:cs="Calibri"/>
          <w:sz w:val="22"/>
          <w:szCs w:val="22"/>
        </w:rPr>
        <w:t>based conclusions.</w:t>
      </w:r>
    </w:p>
    <w:p w14:paraId="600DDB3C" w14:textId="77777777" w:rsidR="00E14EE1" w:rsidRDefault="00E14EE1" w:rsidP="00E14EE1">
      <w:pPr>
        <w:pStyle w:val="ListParagraph"/>
        <w:spacing w:after="0"/>
        <w:ind w:left="1080"/>
        <w:rPr>
          <w:rFonts w:ascii="Calibri" w:hAnsi="Calibri" w:cs="Calibri"/>
          <w:sz w:val="22"/>
          <w:szCs w:val="22"/>
        </w:rPr>
      </w:pPr>
    </w:p>
    <w:p w14:paraId="67CA7A25" w14:textId="707120AF" w:rsidR="00320AB2" w:rsidRDefault="00E14EE1" w:rsidP="00320AB2">
      <w:pPr>
        <w:pStyle w:val="ListParagraph"/>
        <w:numPr>
          <w:ilvl w:val="0"/>
          <w:numId w:val="13"/>
        </w:numPr>
        <w:spacing w:after="0"/>
        <w:rPr>
          <w:rFonts w:ascii="Calibri" w:hAnsi="Calibri" w:cs="Calibri"/>
          <w:sz w:val="22"/>
          <w:szCs w:val="22"/>
        </w:rPr>
      </w:pPr>
      <w:r w:rsidRPr="00E14EE1">
        <w:rPr>
          <w:rFonts w:ascii="Calibri" w:hAnsi="Calibri" w:cs="Calibri"/>
          <w:sz w:val="22"/>
          <w:szCs w:val="22"/>
        </w:rPr>
        <w:t>These data</w:t>
      </w:r>
      <w:r w:rsidRPr="00E14EE1">
        <w:rPr>
          <w:rFonts w:ascii="Cambria Math" w:hAnsi="Cambria Math" w:cs="Cambria Math"/>
          <w:sz w:val="22"/>
          <w:szCs w:val="22"/>
        </w:rPr>
        <w:t>‑</w:t>
      </w:r>
      <w:r w:rsidRPr="00E14EE1">
        <w:rPr>
          <w:rFonts w:ascii="Calibri" w:hAnsi="Calibri" w:cs="Calibri"/>
          <w:sz w:val="22"/>
          <w:szCs w:val="22"/>
        </w:rPr>
        <w:t>quality problems can materially distort profitability, liquidity, and solvency assessments. Profitability ratios such as ROA, ROE, and net margin become unreliable if net income or equity balances are misstated. Liquidity and solvency analysis is compromised when working</w:t>
      </w:r>
      <w:r w:rsidRPr="00E14EE1">
        <w:rPr>
          <w:rFonts w:ascii="Cambria Math" w:hAnsi="Cambria Math" w:cs="Cambria Math"/>
          <w:sz w:val="22"/>
          <w:szCs w:val="22"/>
        </w:rPr>
        <w:t>‑</w:t>
      </w:r>
      <w:r w:rsidRPr="00E14EE1">
        <w:rPr>
          <w:rFonts w:ascii="Calibri" w:hAnsi="Calibri" w:cs="Calibri"/>
          <w:sz w:val="22"/>
          <w:szCs w:val="22"/>
        </w:rPr>
        <w:t>capital movements do not reconcile, as CFO, current ratio, quick ratio, and debt</w:t>
      </w:r>
      <w:r w:rsidRPr="00E14EE1">
        <w:rPr>
          <w:rFonts w:ascii="Cambria Math" w:hAnsi="Cambria Math" w:cs="Cambria Math"/>
          <w:sz w:val="22"/>
          <w:szCs w:val="22"/>
        </w:rPr>
        <w:t>‑</w:t>
      </w:r>
      <w:r w:rsidRPr="00E14EE1">
        <w:rPr>
          <w:rFonts w:ascii="Calibri" w:hAnsi="Calibri" w:cs="Calibri"/>
          <w:sz w:val="22"/>
          <w:szCs w:val="22"/>
        </w:rPr>
        <w:t>servicing capacity all depend on accurate cash</w:t>
      </w:r>
      <w:r w:rsidRPr="00E14EE1">
        <w:rPr>
          <w:rFonts w:ascii="Cambria Math" w:hAnsi="Cambria Math" w:cs="Cambria Math"/>
          <w:sz w:val="22"/>
          <w:szCs w:val="22"/>
        </w:rPr>
        <w:t>‑</w:t>
      </w:r>
      <w:r w:rsidRPr="00E14EE1">
        <w:rPr>
          <w:rFonts w:ascii="Calibri" w:hAnsi="Calibri" w:cs="Calibri"/>
          <w:sz w:val="22"/>
          <w:szCs w:val="22"/>
        </w:rPr>
        <w:t>flow data. AI</w:t>
      </w:r>
      <w:r w:rsidRPr="00E14EE1">
        <w:rPr>
          <w:rFonts w:ascii="Cambria Math" w:hAnsi="Cambria Math" w:cs="Cambria Math"/>
          <w:sz w:val="22"/>
          <w:szCs w:val="22"/>
        </w:rPr>
        <w:t>‑</w:t>
      </w:r>
      <w:r w:rsidRPr="00E14EE1">
        <w:rPr>
          <w:rFonts w:ascii="Calibri" w:hAnsi="Calibri" w:cs="Calibri"/>
          <w:sz w:val="22"/>
          <w:szCs w:val="22"/>
        </w:rPr>
        <w:t>assisted analysis is especially vulnerable because AI tools cannot detect reconciliation errors and will treat flawed inputs as accurate, leading to incorrect conclusions about financial health, risk, and performance trends.</w:t>
      </w:r>
      <w:r>
        <w:rPr>
          <w:rFonts w:ascii="Calibri" w:hAnsi="Calibri" w:cs="Calibri"/>
          <w:sz w:val="22"/>
          <w:szCs w:val="22"/>
        </w:rPr>
        <w:br/>
      </w:r>
    </w:p>
    <w:p w14:paraId="1F468BE2" w14:textId="2941C955" w:rsidR="00E14EE1" w:rsidRDefault="00C8204A" w:rsidP="00320AB2">
      <w:pPr>
        <w:pStyle w:val="ListParagraph"/>
        <w:numPr>
          <w:ilvl w:val="0"/>
          <w:numId w:val="13"/>
        </w:numPr>
        <w:spacing w:after="0"/>
        <w:rPr>
          <w:rFonts w:ascii="Calibri" w:hAnsi="Calibri" w:cs="Calibri"/>
          <w:sz w:val="22"/>
          <w:szCs w:val="22"/>
        </w:rPr>
      </w:pPr>
      <w:r w:rsidRPr="00C8204A">
        <w:rPr>
          <w:rFonts w:ascii="Calibri" w:hAnsi="Calibri" w:cs="Calibri"/>
          <w:sz w:val="22"/>
          <w:szCs w:val="22"/>
        </w:rPr>
        <w:t>Before using these statements for decision</w:t>
      </w:r>
      <w:r w:rsidRPr="00C8204A">
        <w:rPr>
          <w:rFonts w:ascii="Cambria Math" w:hAnsi="Cambria Math" w:cs="Cambria Math"/>
          <w:sz w:val="22"/>
          <w:szCs w:val="22"/>
        </w:rPr>
        <w:t>‑</w:t>
      </w:r>
      <w:r w:rsidRPr="00C8204A">
        <w:rPr>
          <w:rFonts w:ascii="Calibri" w:hAnsi="Calibri" w:cs="Calibri"/>
          <w:sz w:val="22"/>
          <w:szCs w:val="22"/>
        </w:rPr>
        <w:t>making or AI</w:t>
      </w:r>
      <w:r w:rsidRPr="00C8204A">
        <w:rPr>
          <w:rFonts w:ascii="Cambria Math" w:hAnsi="Cambria Math" w:cs="Cambria Math"/>
          <w:sz w:val="22"/>
          <w:szCs w:val="22"/>
        </w:rPr>
        <w:t>‑</w:t>
      </w:r>
      <w:r w:rsidRPr="00C8204A">
        <w:rPr>
          <w:rFonts w:ascii="Calibri" w:hAnsi="Calibri" w:cs="Calibri"/>
          <w:sz w:val="22"/>
          <w:szCs w:val="22"/>
        </w:rPr>
        <w:t>based analysis, Maple Leaf LLC should reconcile and restate all working</w:t>
      </w:r>
      <w:r w:rsidRPr="00C8204A">
        <w:rPr>
          <w:rFonts w:ascii="Cambria Math" w:hAnsi="Cambria Math" w:cs="Cambria Math"/>
          <w:sz w:val="22"/>
          <w:szCs w:val="22"/>
        </w:rPr>
        <w:t>‑</w:t>
      </w:r>
      <w:r w:rsidRPr="00C8204A">
        <w:rPr>
          <w:rFonts w:ascii="Calibri" w:hAnsi="Calibri" w:cs="Calibri"/>
          <w:sz w:val="22"/>
          <w:szCs w:val="22"/>
        </w:rPr>
        <w:t xml:space="preserve">capital adjustments to ensure CFO reflects true operational performance. The company should also provide a complete PPE </w:t>
      </w:r>
      <w:r w:rsidRPr="00C8204A">
        <w:rPr>
          <w:rFonts w:ascii="Calibri" w:hAnsi="Calibri" w:cs="Calibri"/>
          <w:sz w:val="22"/>
          <w:szCs w:val="22"/>
        </w:rPr>
        <w:t>roll forward</w:t>
      </w:r>
      <w:r w:rsidRPr="00C8204A">
        <w:rPr>
          <w:rFonts w:ascii="Calibri" w:hAnsi="Calibri" w:cs="Calibri"/>
          <w:sz w:val="22"/>
          <w:szCs w:val="22"/>
        </w:rPr>
        <w:t xml:space="preserve">, including </w:t>
      </w:r>
      <w:r>
        <w:rPr>
          <w:rFonts w:ascii="Calibri" w:hAnsi="Calibri" w:cs="Calibri"/>
          <w:sz w:val="22"/>
          <w:szCs w:val="22"/>
        </w:rPr>
        <w:t>Capital Expenditures</w:t>
      </w:r>
      <w:r w:rsidRPr="00C8204A">
        <w:rPr>
          <w:rFonts w:ascii="Calibri" w:hAnsi="Calibri" w:cs="Calibri"/>
          <w:sz w:val="22"/>
          <w:szCs w:val="22"/>
        </w:rPr>
        <w:t>, depreciation, any disposals, and correct retained</w:t>
      </w:r>
      <w:r w:rsidRPr="00C8204A">
        <w:rPr>
          <w:rFonts w:ascii="Cambria Math" w:hAnsi="Cambria Math" w:cs="Cambria Math"/>
          <w:sz w:val="22"/>
          <w:szCs w:val="22"/>
        </w:rPr>
        <w:t>‑</w:t>
      </w:r>
      <w:r w:rsidRPr="00C8204A">
        <w:rPr>
          <w:rFonts w:ascii="Calibri" w:hAnsi="Calibri" w:cs="Calibri"/>
          <w:sz w:val="22"/>
          <w:szCs w:val="22"/>
        </w:rPr>
        <w:t>earnings movements to ensure they align with net income and dividends. These steps are necessary to restore internal consistency and ensure that financial analysis is based on accurate, reliable data.</w:t>
      </w:r>
    </w:p>
    <w:p w14:paraId="187A06FE" w14:textId="77777777" w:rsidR="00050376" w:rsidRDefault="00050376" w:rsidP="00050376">
      <w:pPr>
        <w:spacing w:after="0"/>
        <w:rPr>
          <w:rFonts w:ascii="Calibri" w:hAnsi="Calibri" w:cs="Calibri"/>
          <w:sz w:val="22"/>
          <w:szCs w:val="22"/>
        </w:rPr>
      </w:pPr>
    </w:p>
    <w:p w14:paraId="5FC24B8F" w14:textId="77777777" w:rsidR="004F75A4" w:rsidRDefault="004F75A4">
      <w:pPr>
        <w:rPr>
          <w:rFonts w:ascii="Calibri" w:hAnsi="Calibri" w:cs="Calibri"/>
          <w:sz w:val="22"/>
          <w:szCs w:val="22"/>
        </w:rPr>
      </w:pPr>
      <w:r>
        <w:rPr>
          <w:rFonts w:ascii="Calibri" w:hAnsi="Calibri" w:cs="Calibri"/>
          <w:sz w:val="22"/>
          <w:szCs w:val="22"/>
        </w:rPr>
        <w:br w:type="page"/>
      </w:r>
    </w:p>
    <w:p w14:paraId="78497E4C" w14:textId="174F7EDB" w:rsidR="00050376" w:rsidRDefault="00050376" w:rsidP="00050376">
      <w:pPr>
        <w:spacing w:after="0"/>
        <w:rPr>
          <w:rFonts w:ascii="Calibri" w:hAnsi="Calibri" w:cs="Calibri"/>
          <w:sz w:val="22"/>
          <w:szCs w:val="22"/>
        </w:rPr>
      </w:pPr>
      <w:r>
        <w:rPr>
          <w:rFonts w:ascii="Calibri" w:hAnsi="Calibri" w:cs="Calibri"/>
          <w:sz w:val="22"/>
          <w:szCs w:val="22"/>
        </w:rPr>
        <w:lastRenderedPageBreak/>
        <w:t>Part B.</w:t>
      </w:r>
    </w:p>
    <w:p w14:paraId="70BC59BE" w14:textId="6AF3156A" w:rsidR="00050376" w:rsidRDefault="004F75A4" w:rsidP="00050376">
      <w:pPr>
        <w:spacing w:after="0"/>
        <w:rPr>
          <w:rFonts w:ascii="Calibri" w:hAnsi="Calibri" w:cs="Calibri"/>
          <w:sz w:val="22"/>
          <w:szCs w:val="22"/>
        </w:rPr>
      </w:pPr>
      <w:r>
        <w:rPr>
          <w:rFonts w:ascii="Calibri" w:hAnsi="Calibri" w:cs="Calibri"/>
          <w:sz w:val="22"/>
          <w:szCs w:val="22"/>
        </w:rPr>
        <w:tab/>
      </w:r>
    </w:p>
    <w:p w14:paraId="58273385" w14:textId="2AD0220B" w:rsidR="004F75A4" w:rsidRDefault="004F75A4" w:rsidP="00050376">
      <w:pPr>
        <w:spacing w:after="0"/>
        <w:rPr>
          <w:rFonts w:ascii="Calibri" w:hAnsi="Calibri" w:cs="Calibri"/>
          <w:sz w:val="22"/>
          <w:szCs w:val="22"/>
        </w:rPr>
      </w:pPr>
      <w:r>
        <w:rPr>
          <w:rFonts w:ascii="Calibri" w:hAnsi="Calibri" w:cs="Calibri"/>
          <w:sz w:val="22"/>
          <w:szCs w:val="22"/>
        </w:rPr>
        <w:tab/>
        <w:t xml:space="preserve">Monte Carlo Simulation </w:t>
      </w:r>
      <w:r w:rsidR="00204D90">
        <w:rPr>
          <w:rFonts w:ascii="Calibri" w:hAnsi="Calibri" w:cs="Calibri"/>
          <w:sz w:val="22"/>
          <w:szCs w:val="22"/>
        </w:rPr>
        <w:t>Summary</w:t>
      </w:r>
      <w:r w:rsidR="00204D90">
        <w:rPr>
          <w:rFonts w:ascii="Calibri" w:hAnsi="Calibri" w:cs="Calibri"/>
          <w:sz w:val="22"/>
          <w:szCs w:val="22"/>
        </w:rPr>
        <w:br/>
      </w:r>
      <w:r>
        <w:rPr>
          <w:rFonts w:ascii="Calibri" w:hAnsi="Calibri" w:cs="Calibri"/>
          <w:sz w:val="22"/>
          <w:szCs w:val="22"/>
        </w:rPr>
        <w:br/>
      </w:r>
      <w:r w:rsidRPr="004F75A4">
        <w:rPr>
          <w:rFonts w:ascii="Calibri" w:hAnsi="Calibri" w:cs="Calibri"/>
          <w:sz w:val="22"/>
          <w:szCs w:val="22"/>
        </w:rPr>
        <w:drawing>
          <wp:inline distT="0" distB="0" distL="0" distR="0" wp14:anchorId="7165C674" wp14:editId="63DFAF28">
            <wp:extent cx="6184490" cy="3686810"/>
            <wp:effectExtent l="0" t="0" r="6985" b="8890"/>
            <wp:docPr id="42693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3860" name=""/>
                    <pic:cNvPicPr/>
                  </pic:nvPicPr>
                  <pic:blipFill>
                    <a:blip r:embed="rId6"/>
                    <a:stretch>
                      <a:fillRect/>
                    </a:stretch>
                  </pic:blipFill>
                  <pic:spPr>
                    <a:xfrm>
                      <a:off x="0" y="0"/>
                      <a:ext cx="6195079" cy="3693123"/>
                    </a:xfrm>
                    <a:prstGeom prst="rect">
                      <a:avLst/>
                    </a:prstGeom>
                  </pic:spPr>
                </pic:pic>
              </a:graphicData>
            </a:graphic>
          </wp:inline>
        </w:drawing>
      </w:r>
    </w:p>
    <w:p w14:paraId="2A2AEA2C" w14:textId="0DB6D7F7" w:rsidR="00836B5B" w:rsidRPr="00836B5B" w:rsidRDefault="00204D90" w:rsidP="007768BA">
      <w:pPr>
        <w:spacing w:after="0"/>
        <w:ind w:left="720"/>
        <w:rPr>
          <w:rFonts w:ascii="Calibri" w:hAnsi="Calibri" w:cs="Calibri"/>
          <w:sz w:val="22"/>
          <w:szCs w:val="22"/>
        </w:rPr>
      </w:pPr>
      <w:r>
        <w:rPr>
          <w:rFonts w:ascii="Calibri" w:hAnsi="Calibri" w:cs="Calibri"/>
          <w:sz w:val="22"/>
          <w:szCs w:val="22"/>
        </w:rPr>
        <w:br/>
      </w:r>
      <w:r w:rsidR="00836B5B" w:rsidRPr="00836B5B">
        <w:rPr>
          <w:rFonts w:ascii="Calibri" w:hAnsi="Calibri" w:cs="Calibri"/>
          <w:sz w:val="22"/>
          <w:szCs w:val="22"/>
        </w:rPr>
        <w:t>As part of the capital investment evaluation, I performed a Monte Carlo simulation using @RISK to quantify uncertainty in the project’s Net Present Value (NPV). The simulation was run for 5,000 iterations on the NPV output cell, generating a probability distribution of outcomes under modeled demand, price, and cost variability.</w:t>
      </w:r>
    </w:p>
    <w:p w14:paraId="4B666BE1" w14:textId="77777777" w:rsidR="00836B5B" w:rsidRPr="00836B5B" w:rsidRDefault="00836B5B" w:rsidP="00836B5B">
      <w:pPr>
        <w:spacing w:after="0"/>
        <w:rPr>
          <w:rFonts w:ascii="Calibri" w:hAnsi="Calibri" w:cs="Calibri"/>
          <w:sz w:val="22"/>
          <w:szCs w:val="22"/>
        </w:rPr>
      </w:pPr>
    </w:p>
    <w:p w14:paraId="33458509" w14:textId="77777777" w:rsidR="00836B5B" w:rsidRPr="00836B5B" w:rsidRDefault="00836B5B" w:rsidP="007768BA">
      <w:pPr>
        <w:spacing w:after="0"/>
        <w:ind w:left="720"/>
        <w:rPr>
          <w:rFonts w:ascii="Calibri" w:hAnsi="Calibri" w:cs="Calibri"/>
          <w:sz w:val="22"/>
          <w:szCs w:val="22"/>
        </w:rPr>
      </w:pPr>
      <w:r w:rsidRPr="00836B5B">
        <w:rPr>
          <w:rFonts w:ascii="Calibri" w:hAnsi="Calibri" w:cs="Calibri"/>
          <w:sz w:val="22"/>
          <w:szCs w:val="22"/>
        </w:rPr>
        <w:t>Results indicate that the project has a mean simulated NPV of approximately $1.34M and a median of about $1.25M, with a standard deviation of roughly $3.72M, highlighting meaningful dispersion around the expected outcome. The simulated NPV range spans from approximately –$11.32M (minimum) to $14.98M (maximum).</w:t>
      </w:r>
    </w:p>
    <w:p w14:paraId="0D0D6C23" w14:textId="77777777" w:rsidR="00836B5B" w:rsidRPr="00836B5B" w:rsidRDefault="00836B5B" w:rsidP="00836B5B">
      <w:pPr>
        <w:spacing w:after="0"/>
        <w:rPr>
          <w:rFonts w:ascii="Calibri" w:hAnsi="Calibri" w:cs="Calibri"/>
          <w:sz w:val="22"/>
          <w:szCs w:val="22"/>
        </w:rPr>
      </w:pPr>
    </w:p>
    <w:p w14:paraId="56FA213A" w14:textId="77777777" w:rsidR="00836B5B" w:rsidRPr="00836B5B" w:rsidRDefault="00836B5B" w:rsidP="007768BA">
      <w:pPr>
        <w:spacing w:after="0"/>
        <w:ind w:left="720"/>
        <w:rPr>
          <w:rFonts w:ascii="Calibri" w:hAnsi="Calibri" w:cs="Calibri"/>
          <w:sz w:val="22"/>
          <w:szCs w:val="22"/>
        </w:rPr>
      </w:pPr>
      <w:r w:rsidRPr="00836B5B">
        <w:rPr>
          <w:rFonts w:ascii="Calibri" w:hAnsi="Calibri" w:cs="Calibri"/>
          <w:sz w:val="22"/>
          <w:szCs w:val="22"/>
        </w:rPr>
        <w:t xml:space="preserve">From a downside-risk perspective, the 5th percentile (Value-at-Risk, 5% </w:t>
      </w:r>
      <w:proofErr w:type="spellStart"/>
      <w:r w:rsidRPr="00836B5B">
        <w:rPr>
          <w:rFonts w:ascii="Calibri" w:hAnsi="Calibri" w:cs="Calibri"/>
          <w:sz w:val="22"/>
          <w:szCs w:val="22"/>
        </w:rPr>
        <w:t>VaR</w:t>
      </w:r>
      <w:proofErr w:type="spellEnd"/>
      <w:r w:rsidRPr="00836B5B">
        <w:rPr>
          <w:rFonts w:ascii="Calibri" w:hAnsi="Calibri" w:cs="Calibri"/>
          <w:sz w:val="22"/>
          <w:szCs w:val="22"/>
        </w:rPr>
        <w:t xml:space="preserve"> cutoff) is approximately –$4.61M, meaning there is a 5% probability that the project’s NPV will fall below –$4.61M. The central 90% of simulated outcomes lies between approximately –$4.61M and $7.63M, indicating that most results are positive but with a non-trivial probability of material loss.</w:t>
      </w:r>
    </w:p>
    <w:p w14:paraId="54D995D8" w14:textId="77777777" w:rsidR="00836B5B" w:rsidRPr="00836B5B" w:rsidRDefault="00836B5B" w:rsidP="00836B5B">
      <w:pPr>
        <w:spacing w:after="0"/>
        <w:rPr>
          <w:rFonts w:ascii="Calibri" w:hAnsi="Calibri" w:cs="Calibri"/>
          <w:sz w:val="22"/>
          <w:szCs w:val="22"/>
        </w:rPr>
      </w:pPr>
    </w:p>
    <w:p w14:paraId="7E8C8B8E" w14:textId="3A566F43" w:rsidR="00836B5B" w:rsidRDefault="00836B5B" w:rsidP="007768BA">
      <w:pPr>
        <w:spacing w:after="0"/>
        <w:ind w:left="720"/>
        <w:rPr>
          <w:rFonts w:ascii="Calibri" w:hAnsi="Calibri" w:cs="Calibri"/>
          <w:sz w:val="22"/>
          <w:szCs w:val="22"/>
        </w:rPr>
      </w:pPr>
      <w:r w:rsidRPr="00836B5B">
        <w:rPr>
          <w:rFonts w:ascii="Calibri" w:hAnsi="Calibri" w:cs="Calibri"/>
          <w:sz w:val="22"/>
          <w:szCs w:val="22"/>
        </w:rPr>
        <w:lastRenderedPageBreak/>
        <w:t>Overall, the analysis suggests the project is expected to be value-creating on average, but decision-makers should explicitly consider the downside tail risk (low-probability, high-impact negative outcomes) when approving the investment.</w:t>
      </w:r>
    </w:p>
    <w:p w14:paraId="428C13C8" w14:textId="77777777" w:rsidR="00803839" w:rsidRDefault="00803839" w:rsidP="007768BA">
      <w:pPr>
        <w:spacing w:after="0"/>
        <w:ind w:left="720"/>
        <w:rPr>
          <w:rFonts w:ascii="Calibri" w:hAnsi="Calibri" w:cs="Calibri"/>
          <w:sz w:val="22"/>
          <w:szCs w:val="22"/>
        </w:rPr>
      </w:pPr>
    </w:p>
    <w:p w14:paraId="79744F33" w14:textId="0AA86EE2" w:rsidR="00C10705" w:rsidRDefault="00803839" w:rsidP="00C10705">
      <w:pPr>
        <w:spacing w:after="0"/>
        <w:ind w:left="720"/>
        <w:rPr>
          <w:rFonts w:ascii="Calibri" w:hAnsi="Calibri" w:cs="Calibri"/>
          <w:sz w:val="22"/>
          <w:szCs w:val="22"/>
        </w:rPr>
      </w:pPr>
      <w:r>
        <w:rPr>
          <w:rFonts w:ascii="Calibri" w:hAnsi="Calibri" w:cs="Calibri"/>
          <w:sz w:val="22"/>
          <w:szCs w:val="22"/>
        </w:rPr>
        <w:t xml:space="preserve">Part </w:t>
      </w:r>
      <w:r w:rsidR="001E6B18">
        <w:rPr>
          <w:rFonts w:ascii="Calibri" w:hAnsi="Calibri" w:cs="Calibri"/>
          <w:sz w:val="22"/>
          <w:szCs w:val="22"/>
        </w:rPr>
        <w:t>C. Data Mining MACD Strategy</w:t>
      </w:r>
      <w:r w:rsidR="00FA0655">
        <w:rPr>
          <w:rFonts w:ascii="Calibri" w:hAnsi="Calibri" w:cs="Calibri"/>
          <w:sz w:val="22"/>
          <w:szCs w:val="22"/>
        </w:rPr>
        <w:br/>
      </w:r>
    </w:p>
    <w:tbl>
      <w:tblPr>
        <w:tblW w:w="5000" w:type="pct"/>
        <w:tblLook w:val="04A0" w:firstRow="1" w:lastRow="0" w:firstColumn="1" w:lastColumn="0" w:noHBand="0" w:noVBand="1"/>
      </w:tblPr>
      <w:tblGrid>
        <w:gridCol w:w="2342"/>
        <w:gridCol w:w="2341"/>
        <w:gridCol w:w="1285"/>
        <w:gridCol w:w="1692"/>
        <w:gridCol w:w="1690"/>
      </w:tblGrid>
      <w:tr w:rsidR="00C10705" w:rsidRPr="00C10705" w14:paraId="7B48C61C" w14:textId="77777777" w:rsidTr="0051567A">
        <w:trPr>
          <w:trHeight w:val="300"/>
        </w:trPr>
        <w:tc>
          <w:tcPr>
            <w:tcW w:w="1252" w:type="pct"/>
            <w:tcBorders>
              <w:top w:val="single" w:sz="4" w:space="0" w:color="auto"/>
              <w:left w:val="single" w:sz="4" w:space="0" w:color="auto"/>
              <w:bottom w:val="single" w:sz="4" w:space="0" w:color="auto"/>
              <w:right w:val="single" w:sz="4" w:space="0" w:color="auto"/>
            </w:tcBorders>
            <w:shd w:val="clear" w:color="auto" w:fill="CAEDFB" w:themeFill="accent4" w:themeFillTint="33"/>
            <w:noWrap/>
            <w:hideMark/>
          </w:tcPr>
          <w:p w14:paraId="7E0F4E96" w14:textId="77777777" w:rsidR="00C10705" w:rsidRPr="00C10705" w:rsidRDefault="00C10705" w:rsidP="00C10705">
            <w:pPr>
              <w:spacing w:after="0" w:line="240" w:lineRule="auto"/>
              <w:jc w:val="center"/>
              <w:rPr>
                <w:rFonts w:ascii="Calibri" w:eastAsia="Times New Roman" w:hAnsi="Calibri" w:cs="Calibri"/>
                <w:b/>
                <w:bCs/>
                <w:kern w:val="0"/>
                <w:sz w:val="22"/>
                <w:szCs w:val="22"/>
                <w:lang w:eastAsia="en-CA"/>
                <w14:ligatures w14:val="none"/>
              </w:rPr>
            </w:pPr>
            <w:proofErr w:type="spellStart"/>
            <w:r w:rsidRPr="00C10705">
              <w:rPr>
                <w:rFonts w:ascii="Calibri" w:eastAsia="Times New Roman" w:hAnsi="Calibri" w:cs="Calibri"/>
                <w:b/>
                <w:bCs/>
                <w:kern w:val="0"/>
                <w:sz w:val="22"/>
                <w:szCs w:val="22"/>
                <w:lang w:eastAsia="en-CA"/>
                <w14:ligatures w14:val="none"/>
              </w:rPr>
              <w:t>BuyDate</w:t>
            </w:r>
            <w:proofErr w:type="spellEnd"/>
          </w:p>
        </w:tc>
        <w:tc>
          <w:tcPr>
            <w:tcW w:w="1252"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2C46C276" w14:textId="77777777" w:rsidR="00C10705" w:rsidRPr="00C10705" w:rsidRDefault="00C10705" w:rsidP="00C10705">
            <w:pPr>
              <w:spacing w:after="0" w:line="240" w:lineRule="auto"/>
              <w:jc w:val="center"/>
              <w:rPr>
                <w:rFonts w:ascii="Calibri" w:eastAsia="Times New Roman" w:hAnsi="Calibri" w:cs="Calibri"/>
                <w:b/>
                <w:bCs/>
                <w:kern w:val="0"/>
                <w:sz w:val="22"/>
                <w:szCs w:val="22"/>
                <w:lang w:eastAsia="en-CA"/>
                <w14:ligatures w14:val="none"/>
              </w:rPr>
            </w:pPr>
            <w:proofErr w:type="spellStart"/>
            <w:r w:rsidRPr="00C10705">
              <w:rPr>
                <w:rFonts w:ascii="Calibri" w:eastAsia="Times New Roman" w:hAnsi="Calibri" w:cs="Calibri"/>
                <w:b/>
                <w:bCs/>
                <w:kern w:val="0"/>
                <w:sz w:val="22"/>
                <w:szCs w:val="22"/>
                <w:lang w:eastAsia="en-CA"/>
                <w14:ligatures w14:val="none"/>
              </w:rPr>
              <w:t>SellDate</w:t>
            </w:r>
            <w:proofErr w:type="spellEnd"/>
          </w:p>
        </w:tc>
        <w:tc>
          <w:tcPr>
            <w:tcW w:w="687"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319EE6FC" w14:textId="77777777" w:rsidR="00C10705" w:rsidRPr="00C10705" w:rsidRDefault="00C10705" w:rsidP="00C10705">
            <w:pPr>
              <w:spacing w:after="0" w:line="240" w:lineRule="auto"/>
              <w:jc w:val="center"/>
              <w:rPr>
                <w:rFonts w:ascii="Calibri" w:eastAsia="Times New Roman" w:hAnsi="Calibri" w:cs="Calibri"/>
                <w:b/>
                <w:bCs/>
                <w:kern w:val="0"/>
                <w:sz w:val="22"/>
                <w:szCs w:val="22"/>
                <w:lang w:eastAsia="en-CA"/>
                <w14:ligatures w14:val="none"/>
              </w:rPr>
            </w:pPr>
            <w:proofErr w:type="spellStart"/>
            <w:r w:rsidRPr="00C10705">
              <w:rPr>
                <w:rFonts w:ascii="Calibri" w:eastAsia="Times New Roman" w:hAnsi="Calibri" w:cs="Calibri"/>
                <w:b/>
                <w:bCs/>
                <w:kern w:val="0"/>
                <w:sz w:val="22"/>
                <w:szCs w:val="22"/>
                <w:lang w:eastAsia="en-CA"/>
                <w14:ligatures w14:val="none"/>
              </w:rPr>
              <w:t>BuyPrice</w:t>
            </w:r>
            <w:proofErr w:type="spellEnd"/>
          </w:p>
        </w:tc>
        <w:tc>
          <w:tcPr>
            <w:tcW w:w="905"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38101B47" w14:textId="77777777" w:rsidR="00C10705" w:rsidRPr="00C10705" w:rsidRDefault="00C10705" w:rsidP="00C10705">
            <w:pPr>
              <w:spacing w:after="0" w:line="240" w:lineRule="auto"/>
              <w:jc w:val="center"/>
              <w:rPr>
                <w:rFonts w:ascii="Calibri" w:eastAsia="Times New Roman" w:hAnsi="Calibri" w:cs="Calibri"/>
                <w:b/>
                <w:bCs/>
                <w:kern w:val="0"/>
                <w:sz w:val="22"/>
                <w:szCs w:val="22"/>
                <w:lang w:eastAsia="en-CA"/>
                <w14:ligatures w14:val="none"/>
              </w:rPr>
            </w:pPr>
            <w:proofErr w:type="spellStart"/>
            <w:r w:rsidRPr="00C10705">
              <w:rPr>
                <w:rFonts w:ascii="Calibri" w:eastAsia="Times New Roman" w:hAnsi="Calibri" w:cs="Calibri"/>
                <w:b/>
                <w:bCs/>
                <w:kern w:val="0"/>
                <w:sz w:val="22"/>
                <w:szCs w:val="22"/>
                <w:lang w:eastAsia="en-CA"/>
                <w14:ligatures w14:val="none"/>
              </w:rPr>
              <w:t>SellPrice</w:t>
            </w:r>
            <w:proofErr w:type="spellEnd"/>
          </w:p>
        </w:tc>
        <w:tc>
          <w:tcPr>
            <w:tcW w:w="905"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5CF34271" w14:textId="77777777" w:rsidR="00C10705" w:rsidRPr="00C10705" w:rsidRDefault="00C10705" w:rsidP="00C10705">
            <w:pPr>
              <w:spacing w:after="0" w:line="240" w:lineRule="auto"/>
              <w:jc w:val="center"/>
              <w:rPr>
                <w:rFonts w:ascii="Calibri" w:eastAsia="Times New Roman" w:hAnsi="Calibri" w:cs="Calibri"/>
                <w:b/>
                <w:bCs/>
                <w:kern w:val="0"/>
                <w:sz w:val="22"/>
                <w:szCs w:val="22"/>
                <w:lang w:eastAsia="en-CA"/>
                <w14:ligatures w14:val="none"/>
              </w:rPr>
            </w:pPr>
            <w:proofErr w:type="spellStart"/>
            <w:r w:rsidRPr="00C10705">
              <w:rPr>
                <w:rFonts w:ascii="Calibri" w:eastAsia="Times New Roman" w:hAnsi="Calibri" w:cs="Calibri"/>
                <w:b/>
                <w:bCs/>
                <w:kern w:val="0"/>
                <w:sz w:val="22"/>
                <w:szCs w:val="22"/>
                <w:lang w:eastAsia="en-CA"/>
                <w14:ligatures w14:val="none"/>
              </w:rPr>
              <w:t>TradeProfit</w:t>
            </w:r>
            <w:proofErr w:type="spellEnd"/>
          </w:p>
        </w:tc>
      </w:tr>
      <w:tr w:rsidR="00C10705" w:rsidRPr="00C10705" w14:paraId="77DB4E64"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31E510F1"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2023-03-01 00:00:00</w:t>
            </w:r>
          </w:p>
        </w:tc>
        <w:tc>
          <w:tcPr>
            <w:tcW w:w="1252" w:type="pct"/>
            <w:tcBorders>
              <w:top w:val="nil"/>
              <w:left w:val="nil"/>
              <w:bottom w:val="single" w:sz="4" w:space="0" w:color="auto"/>
              <w:right w:val="single" w:sz="4" w:space="0" w:color="auto"/>
            </w:tcBorders>
            <w:noWrap/>
            <w:vAlign w:val="bottom"/>
            <w:hideMark/>
          </w:tcPr>
          <w:p w14:paraId="3BC7AF43"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2023-03-04 00:00:00</w:t>
            </w:r>
          </w:p>
        </w:tc>
        <w:tc>
          <w:tcPr>
            <w:tcW w:w="687" w:type="pct"/>
            <w:tcBorders>
              <w:top w:val="nil"/>
              <w:left w:val="nil"/>
              <w:bottom w:val="single" w:sz="4" w:space="0" w:color="auto"/>
              <w:right w:val="single" w:sz="4" w:space="0" w:color="auto"/>
            </w:tcBorders>
            <w:noWrap/>
            <w:vAlign w:val="bottom"/>
            <w:hideMark/>
          </w:tcPr>
          <w:p w14:paraId="769B82A4"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100.2585</w:t>
            </w:r>
          </w:p>
        </w:tc>
        <w:tc>
          <w:tcPr>
            <w:tcW w:w="905" w:type="pct"/>
            <w:tcBorders>
              <w:top w:val="nil"/>
              <w:left w:val="nil"/>
              <w:bottom w:val="single" w:sz="4" w:space="0" w:color="auto"/>
              <w:right w:val="single" w:sz="4" w:space="0" w:color="auto"/>
            </w:tcBorders>
            <w:noWrap/>
            <w:vAlign w:val="bottom"/>
            <w:hideMark/>
          </w:tcPr>
          <w:p w14:paraId="46EFBD99"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93.58939252</w:t>
            </w:r>
          </w:p>
        </w:tc>
        <w:tc>
          <w:tcPr>
            <w:tcW w:w="905" w:type="pct"/>
            <w:tcBorders>
              <w:top w:val="nil"/>
              <w:left w:val="nil"/>
              <w:bottom w:val="single" w:sz="4" w:space="0" w:color="auto"/>
              <w:right w:val="single" w:sz="4" w:space="0" w:color="auto"/>
            </w:tcBorders>
            <w:noWrap/>
            <w:vAlign w:val="bottom"/>
            <w:hideMark/>
          </w:tcPr>
          <w:p w14:paraId="76495F56"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-6.66907762</w:t>
            </w:r>
          </w:p>
        </w:tc>
      </w:tr>
      <w:tr w:rsidR="00C10705" w:rsidRPr="00C10705" w14:paraId="771F14FA"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335B3EC0"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2023-03-19 00:00:00</w:t>
            </w:r>
          </w:p>
        </w:tc>
        <w:tc>
          <w:tcPr>
            <w:tcW w:w="1252" w:type="pct"/>
            <w:tcBorders>
              <w:top w:val="nil"/>
              <w:left w:val="nil"/>
              <w:bottom w:val="single" w:sz="4" w:space="0" w:color="auto"/>
              <w:right w:val="single" w:sz="4" w:space="0" w:color="auto"/>
            </w:tcBorders>
            <w:noWrap/>
            <w:vAlign w:val="bottom"/>
            <w:hideMark/>
          </w:tcPr>
          <w:p w14:paraId="4E831F4B"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2023-04-03 00:00:00</w:t>
            </w:r>
          </w:p>
        </w:tc>
        <w:tc>
          <w:tcPr>
            <w:tcW w:w="687" w:type="pct"/>
            <w:tcBorders>
              <w:top w:val="nil"/>
              <w:left w:val="nil"/>
              <w:bottom w:val="single" w:sz="4" w:space="0" w:color="auto"/>
              <w:right w:val="single" w:sz="4" w:space="0" w:color="auto"/>
            </w:tcBorders>
            <w:noWrap/>
            <w:vAlign w:val="bottom"/>
            <w:hideMark/>
          </w:tcPr>
          <w:p w14:paraId="17546E65"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92.92249</w:t>
            </w:r>
          </w:p>
        </w:tc>
        <w:tc>
          <w:tcPr>
            <w:tcW w:w="905" w:type="pct"/>
            <w:tcBorders>
              <w:top w:val="nil"/>
              <w:left w:val="nil"/>
              <w:bottom w:val="single" w:sz="4" w:space="0" w:color="auto"/>
              <w:right w:val="single" w:sz="4" w:space="0" w:color="auto"/>
            </w:tcBorders>
            <w:noWrap/>
            <w:vAlign w:val="bottom"/>
            <w:hideMark/>
          </w:tcPr>
          <w:p w14:paraId="1D1BCC9F"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102.2601694</w:t>
            </w:r>
          </w:p>
        </w:tc>
        <w:tc>
          <w:tcPr>
            <w:tcW w:w="905" w:type="pct"/>
            <w:tcBorders>
              <w:top w:val="nil"/>
              <w:left w:val="nil"/>
              <w:bottom w:val="single" w:sz="4" w:space="0" w:color="auto"/>
              <w:right w:val="single" w:sz="4" w:space="0" w:color="auto"/>
            </w:tcBorders>
            <w:noWrap/>
            <w:vAlign w:val="bottom"/>
            <w:hideMark/>
          </w:tcPr>
          <w:p w14:paraId="4E859E84"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9.337683888</w:t>
            </w:r>
          </w:p>
        </w:tc>
      </w:tr>
      <w:tr w:rsidR="00C10705" w:rsidRPr="00C10705" w14:paraId="0378D533"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7E74B1A7"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2023-04-11 00:00:00</w:t>
            </w:r>
          </w:p>
        </w:tc>
        <w:tc>
          <w:tcPr>
            <w:tcW w:w="1252" w:type="pct"/>
            <w:tcBorders>
              <w:top w:val="nil"/>
              <w:left w:val="nil"/>
              <w:bottom w:val="single" w:sz="4" w:space="0" w:color="auto"/>
              <w:right w:val="single" w:sz="4" w:space="0" w:color="auto"/>
            </w:tcBorders>
            <w:noWrap/>
            <w:vAlign w:val="bottom"/>
            <w:hideMark/>
          </w:tcPr>
          <w:p w14:paraId="5DD0572A"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2023-04-21 00:00:00</w:t>
            </w:r>
          </w:p>
        </w:tc>
        <w:tc>
          <w:tcPr>
            <w:tcW w:w="687" w:type="pct"/>
            <w:tcBorders>
              <w:top w:val="nil"/>
              <w:left w:val="nil"/>
              <w:bottom w:val="single" w:sz="4" w:space="0" w:color="auto"/>
              <w:right w:val="single" w:sz="4" w:space="0" w:color="auto"/>
            </w:tcBorders>
            <w:noWrap/>
            <w:vAlign w:val="bottom"/>
            <w:hideMark/>
          </w:tcPr>
          <w:p w14:paraId="1CACDE12"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112.7541</w:t>
            </w:r>
          </w:p>
        </w:tc>
        <w:tc>
          <w:tcPr>
            <w:tcW w:w="905" w:type="pct"/>
            <w:tcBorders>
              <w:top w:val="nil"/>
              <w:left w:val="nil"/>
              <w:bottom w:val="single" w:sz="4" w:space="0" w:color="auto"/>
              <w:right w:val="single" w:sz="4" w:space="0" w:color="auto"/>
            </w:tcBorders>
            <w:noWrap/>
            <w:vAlign w:val="bottom"/>
            <w:hideMark/>
          </w:tcPr>
          <w:p w14:paraId="2ED01D06"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110.0748119</w:t>
            </w:r>
          </w:p>
        </w:tc>
        <w:tc>
          <w:tcPr>
            <w:tcW w:w="905" w:type="pct"/>
            <w:tcBorders>
              <w:top w:val="nil"/>
              <w:left w:val="nil"/>
              <w:bottom w:val="single" w:sz="4" w:space="0" w:color="auto"/>
              <w:right w:val="single" w:sz="4" w:space="0" w:color="auto"/>
            </w:tcBorders>
            <w:noWrap/>
            <w:vAlign w:val="bottom"/>
            <w:hideMark/>
          </w:tcPr>
          <w:p w14:paraId="00F649C6"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-2.679305843</w:t>
            </w:r>
          </w:p>
        </w:tc>
      </w:tr>
      <w:tr w:rsidR="00C10705" w:rsidRPr="00C10705" w14:paraId="7ED865DD"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4D97B5B5"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2023-05-21 00:00:00</w:t>
            </w:r>
          </w:p>
        </w:tc>
        <w:tc>
          <w:tcPr>
            <w:tcW w:w="1252" w:type="pct"/>
            <w:tcBorders>
              <w:top w:val="nil"/>
              <w:left w:val="nil"/>
              <w:bottom w:val="single" w:sz="4" w:space="0" w:color="auto"/>
              <w:right w:val="single" w:sz="4" w:space="0" w:color="auto"/>
            </w:tcBorders>
            <w:noWrap/>
            <w:vAlign w:val="bottom"/>
            <w:hideMark/>
          </w:tcPr>
          <w:p w14:paraId="5022BE39"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2023-06-06 00:00:00</w:t>
            </w:r>
          </w:p>
        </w:tc>
        <w:tc>
          <w:tcPr>
            <w:tcW w:w="687" w:type="pct"/>
            <w:tcBorders>
              <w:top w:val="nil"/>
              <w:left w:val="nil"/>
              <w:bottom w:val="single" w:sz="4" w:space="0" w:color="auto"/>
              <w:right w:val="single" w:sz="4" w:space="0" w:color="auto"/>
            </w:tcBorders>
            <w:noWrap/>
            <w:vAlign w:val="bottom"/>
            <w:hideMark/>
          </w:tcPr>
          <w:p w14:paraId="5FE866A6"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111.4145</w:t>
            </w:r>
          </w:p>
        </w:tc>
        <w:tc>
          <w:tcPr>
            <w:tcW w:w="905" w:type="pct"/>
            <w:tcBorders>
              <w:top w:val="nil"/>
              <w:left w:val="nil"/>
              <w:bottom w:val="single" w:sz="4" w:space="0" w:color="auto"/>
              <w:right w:val="single" w:sz="4" w:space="0" w:color="auto"/>
            </w:tcBorders>
            <w:noWrap/>
            <w:vAlign w:val="bottom"/>
            <w:hideMark/>
          </w:tcPr>
          <w:p w14:paraId="71B6D541"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114.3214678</w:t>
            </w:r>
          </w:p>
        </w:tc>
        <w:tc>
          <w:tcPr>
            <w:tcW w:w="905" w:type="pct"/>
            <w:tcBorders>
              <w:top w:val="nil"/>
              <w:left w:val="nil"/>
              <w:bottom w:val="single" w:sz="4" w:space="0" w:color="auto"/>
              <w:right w:val="single" w:sz="4" w:space="0" w:color="auto"/>
            </w:tcBorders>
            <w:noWrap/>
            <w:vAlign w:val="bottom"/>
            <w:hideMark/>
          </w:tcPr>
          <w:p w14:paraId="0E200E7C"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2.907004185</w:t>
            </w:r>
          </w:p>
        </w:tc>
      </w:tr>
      <w:tr w:rsidR="00C10705" w:rsidRPr="00C10705" w14:paraId="5D50B278"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4EC8BFAD"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2023-06-17 00:00:00</w:t>
            </w:r>
          </w:p>
        </w:tc>
        <w:tc>
          <w:tcPr>
            <w:tcW w:w="1252" w:type="pct"/>
            <w:tcBorders>
              <w:top w:val="nil"/>
              <w:left w:val="nil"/>
              <w:bottom w:val="single" w:sz="4" w:space="0" w:color="auto"/>
              <w:right w:val="single" w:sz="4" w:space="0" w:color="auto"/>
            </w:tcBorders>
            <w:noWrap/>
            <w:vAlign w:val="bottom"/>
            <w:hideMark/>
          </w:tcPr>
          <w:p w14:paraId="066E3B60"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2023-06-23 00:00:00</w:t>
            </w:r>
          </w:p>
        </w:tc>
        <w:tc>
          <w:tcPr>
            <w:tcW w:w="687" w:type="pct"/>
            <w:tcBorders>
              <w:top w:val="nil"/>
              <w:left w:val="nil"/>
              <w:bottom w:val="single" w:sz="4" w:space="0" w:color="auto"/>
              <w:right w:val="single" w:sz="4" w:space="0" w:color="auto"/>
            </w:tcBorders>
            <w:noWrap/>
            <w:vAlign w:val="bottom"/>
            <w:hideMark/>
          </w:tcPr>
          <w:p w14:paraId="4DE87817"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124.4087</w:t>
            </w:r>
          </w:p>
        </w:tc>
        <w:tc>
          <w:tcPr>
            <w:tcW w:w="905" w:type="pct"/>
            <w:tcBorders>
              <w:top w:val="nil"/>
              <w:left w:val="nil"/>
              <w:bottom w:val="single" w:sz="4" w:space="0" w:color="auto"/>
              <w:right w:val="single" w:sz="4" w:space="0" w:color="auto"/>
            </w:tcBorders>
            <w:noWrap/>
            <w:vAlign w:val="bottom"/>
            <w:hideMark/>
          </w:tcPr>
          <w:p w14:paraId="6A53D641"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121.0462613</w:t>
            </w:r>
          </w:p>
        </w:tc>
        <w:tc>
          <w:tcPr>
            <w:tcW w:w="905" w:type="pct"/>
            <w:tcBorders>
              <w:top w:val="nil"/>
              <w:left w:val="nil"/>
              <w:bottom w:val="single" w:sz="4" w:space="0" w:color="auto"/>
              <w:right w:val="single" w:sz="4" w:space="0" w:color="auto"/>
            </w:tcBorders>
            <w:noWrap/>
            <w:vAlign w:val="bottom"/>
            <w:hideMark/>
          </w:tcPr>
          <w:p w14:paraId="2D4F7BE4"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-3.362395741</w:t>
            </w:r>
          </w:p>
        </w:tc>
      </w:tr>
      <w:tr w:rsidR="00C10705" w:rsidRPr="00C10705" w14:paraId="4886D1AD"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7BDB7ADC"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2023-07-07 00:00:00</w:t>
            </w:r>
          </w:p>
        </w:tc>
        <w:tc>
          <w:tcPr>
            <w:tcW w:w="1252" w:type="pct"/>
            <w:tcBorders>
              <w:top w:val="nil"/>
              <w:left w:val="nil"/>
              <w:bottom w:val="single" w:sz="4" w:space="0" w:color="auto"/>
              <w:right w:val="single" w:sz="4" w:space="0" w:color="auto"/>
            </w:tcBorders>
            <w:noWrap/>
            <w:vAlign w:val="bottom"/>
            <w:hideMark/>
          </w:tcPr>
          <w:p w14:paraId="2E053EE3"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2023-07-10 00:00:00</w:t>
            </w:r>
          </w:p>
        </w:tc>
        <w:tc>
          <w:tcPr>
            <w:tcW w:w="687" w:type="pct"/>
            <w:tcBorders>
              <w:top w:val="nil"/>
              <w:left w:val="nil"/>
              <w:bottom w:val="single" w:sz="4" w:space="0" w:color="auto"/>
              <w:right w:val="single" w:sz="4" w:space="0" w:color="auto"/>
            </w:tcBorders>
            <w:noWrap/>
            <w:vAlign w:val="bottom"/>
            <w:hideMark/>
          </w:tcPr>
          <w:p w14:paraId="1A4A52C6"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123.7362</w:t>
            </w:r>
          </w:p>
        </w:tc>
        <w:tc>
          <w:tcPr>
            <w:tcW w:w="905" w:type="pct"/>
            <w:tcBorders>
              <w:top w:val="nil"/>
              <w:left w:val="nil"/>
              <w:bottom w:val="single" w:sz="4" w:space="0" w:color="auto"/>
              <w:right w:val="single" w:sz="4" w:space="0" w:color="auto"/>
            </w:tcBorders>
            <w:noWrap/>
            <w:vAlign w:val="bottom"/>
            <w:hideMark/>
          </w:tcPr>
          <w:p w14:paraId="30563445"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124.8569772</w:t>
            </w:r>
          </w:p>
        </w:tc>
        <w:tc>
          <w:tcPr>
            <w:tcW w:w="905" w:type="pct"/>
            <w:tcBorders>
              <w:top w:val="nil"/>
              <w:left w:val="nil"/>
              <w:bottom w:val="single" w:sz="4" w:space="0" w:color="auto"/>
              <w:right w:val="single" w:sz="4" w:space="0" w:color="auto"/>
            </w:tcBorders>
            <w:noWrap/>
            <w:vAlign w:val="bottom"/>
            <w:hideMark/>
          </w:tcPr>
          <w:p w14:paraId="762019B3"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1.120798658</w:t>
            </w:r>
          </w:p>
        </w:tc>
      </w:tr>
      <w:tr w:rsidR="00C10705" w:rsidRPr="00C10705" w14:paraId="6855DDBB" w14:textId="77777777" w:rsidTr="00C10705">
        <w:trPr>
          <w:trHeight w:val="300"/>
        </w:trPr>
        <w:tc>
          <w:tcPr>
            <w:tcW w:w="1252" w:type="pct"/>
            <w:tcBorders>
              <w:top w:val="nil"/>
              <w:left w:val="single" w:sz="4" w:space="0" w:color="auto"/>
              <w:bottom w:val="single" w:sz="4" w:space="0" w:color="auto"/>
              <w:right w:val="single" w:sz="4" w:space="0" w:color="auto"/>
            </w:tcBorders>
            <w:noWrap/>
            <w:vAlign w:val="bottom"/>
            <w:hideMark/>
          </w:tcPr>
          <w:p w14:paraId="7726B82E"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2023-07-18 00:00:00</w:t>
            </w:r>
          </w:p>
        </w:tc>
        <w:tc>
          <w:tcPr>
            <w:tcW w:w="1252" w:type="pct"/>
            <w:tcBorders>
              <w:top w:val="nil"/>
              <w:left w:val="nil"/>
              <w:bottom w:val="single" w:sz="4" w:space="0" w:color="auto"/>
              <w:right w:val="single" w:sz="4" w:space="0" w:color="auto"/>
            </w:tcBorders>
            <w:noWrap/>
            <w:vAlign w:val="bottom"/>
            <w:hideMark/>
          </w:tcPr>
          <w:p w14:paraId="2374B0DA"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2023-08-02 00:00:00</w:t>
            </w:r>
          </w:p>
        </w:tc>
        <w:tc>
          <w:tcPr>
            <w:tcW w:w="687" w:type="pct"/>
            <w:tcBorders>
              <w:top w:val="nil"/>
              <w:left w:val="nil"/>
              <w:bottom w:val="single" w:sz="4" w:space="0" w:color="auto"/>
              <w:right w:val="single" w:sz="4" w:space="0" w:color="auto"/>
            </w:tcBorders>
            <w:noWrap/>
            <w:vAlign w:val="bottom"/>
            <w:hideMark/>
          </w:tcPr>
          <w:p w14:paraId="4EB163A7"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131.1335</w:t>
            </w:r>
          </w:p>
        </w:tc>
        <w:tc>
          <w:tcPr>
            <w:tcW w:w="905" w:type="pct"/>
            <w:tcBorders>
              <w:top w:val="nil"/>
              <w:left w:val="nil"/>
              <w:bottom w:val="single" w:sz="4" w:space="0" w:color="auto"/>
              <w:right w:val="single" w:sz="4" w:space="0" w:color="auto"/>
            </w:tcBorders>
            <w:noWrap/>
            <w:vAlign w:val="bottom"/>
            <w:hideMark/>
          </w:tcPr>
          <w:p w14:paraId="0648C9F3"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133.1508898</w:t>
            </w:r>
          </w:p>
        </w:tc>
        <w:tc>
          <w:tcPr>
            <w:tcW w:w="905" w:type="pct"/>
            <w:tcBorders>
              <w:top w:val="nil"/>
              <w:left w:val="nil"/>
              <w:bottom w:val="single" w:sz="4" w:space="0" w:color="auto"/>
              <w:right w:val="single" w:sz="4" w:space="0" w:color="auto"/>
            </w:tcBorders>
            <w:noWrap/>
            <w:vAlign w:val="bottom"/>
            <w:hideMark/>
          </w:tcPr>
          <w:p w14:paraId="31781F4F" w14:textId="77777777" w:rsidR="00C10705" w:rsidRPr="00C10705" w:rsidRDefault="00C10705" w:rsidP="00C10705">
            <w:pPr>
              <w:spacing w:after="0" w:line="240" w:lineRule="auto"/>
              <w:jc w:val="right"/>
              <w:rPr>
                <w:rFonts w:ascii="Calibri" w:eastAsia="Times New Roman" w:hAnsi="Calibri" w:cs="Calibri"/>
                <w:color w:val="000000"/>
                <w:kern w:val="0"/>
                <w:sz w:val="22"/>
                <w:szCs w:val="22"/>
                <w:lang w:eastAsia="en-CA"/>
                <w14:ligatures w14:val="none"/>
              </w:rPr>
            </w:pPr>
            <w:r w:rsidRPr="00C10705">
              <w:rPr>
                <w:rFonts w:ascii="Calibri" w:eastAsia="Times New Roman" w:hAnsi="Calibri" w:cs="Calibri"/>
                <w:color w:val="000000"/>
                <w:kern w:val="0"/>
                <w:sz w:val="22"/>
                <w:szCs w:val="22"/>
                <w:lang w:eastAsia="en-CA"/>
                <w14:ligatures w14:val="none"/>
              </w:rPr>
              <w:t>2.017438668</w:t>
            </w:r>
          </w:p>
        </w:tc>
      </w:tr>
    </w:tbl>
    <w:p w14:paraId="0ACD1A8F" w14:textId="2DF05EDF" w:rsidR="001E6B18" w:rsidRDefault="001E6B18" w:rsidP="007768BA">
      <w:pPr>
        <w:spacing w:after="0"/>
        <w:ind w:left="720"/>
        <w:rPr>
          <w:rFonts w:ascii="Calibri" w:hAnsi="Calibri" w:cs="Calibri"/>
          <w:sz w:val="22"/>
          <w:szCs w:val="22"/>
        </w:rPr>
      </w:pPr>
    </w:p>
    <w:tbl>
      <w:tblPr>
        <w:tblW w:w="5000" w:type="pct"/>
        <w:tblLook w:val="04A0" w:firstRow="1" w:lastRow="0" w:firstColumn="1" w:lastColumn="0" w:noHBand="0" w:noVBand="1"/>
      </w:tblPr>
      <w:tblGrid>
        <w:gridCol w:w="2879"/>
        <w:gridCol w:w="1561"/>
        <w:gridCol w:w="2463"/>
        <w:gridCol w:w="2447"/>
      </w:tblGrid>
      <w:tr w:rsidR="00382F84" w:rsidRPr="00382F84" w14:paraId="5438C680" w14:textId="77777777" w:rsidTr="0051567A">
        <w:trPr>
          <w:trHeight w:val="300"/>
        </w:trPr>
        <w:tc>
          <w:tcPr>
            <w:tcW w:w="1559" w:type="pct"/>
            <w:tcBorders>
              <w:top w:val="single" w:sz="4" w:space="0" w:color="auto"/>
              <w:left w:val="single" w:sz="4" w:space="0" w:color="auto"/>
              <w:bottom w:val="single" w:sz="4" w:space="0" w:color="auto"/>
              <w:right w:val="single" w:sz="4" w:space="0" w:color="auto"/>
            </w:tcBorders>
            <w:shd w:val="clear" w:color="auto" w:fill="CAEDFB" w:themeFill="accent4" w:themeFillTint="33"/>
            <w:noWrap/>
            <w:hideMark/>
          </w:tcPr>
          <w:p w14:paraId="1285838E" w14:textId="77777777" w:rsidR="00382F84" w:rsidRPr="00382F84" w:rsidRDefault="00382F84" w:rsidP="00382F84">
            <w:pPr>
              <w:spacing w:after="0" w:line="240" w:lineRule="auto"/>
              <w:rPr>
                <w:rFonts w:ascii="Calibri" w:eastAsia="Times New Roman" w:hAnsi="Calibri" w:cs="Calibri"/>
                <w:b/>
                <w:bCs/>
                <w:kern w:val="0"/>
                <w:sz w:val="22"/>
                <w:szCs w:val="22"/>
                <w:lang w:eastAsia="en-CA"/>
                <w14:ligatures w14:val="none"/>
              </w:rPr>
            </w:pPr>
            <w:r w:rsidRPr="00382F84">
              <w:rPr>
                <w:rFonts w:ascii="Calibri" w:eastAsia="Times New Roman" w:hAnsi="Calibri" w:cs="Calibri"/>
                <w:b/>
                <w:bCs/>
                <w:kern w:val="0"/>
                <w:sz w:val="22"/>
                <w:szCs w:val="22"/>
                <w:lang w:eastAsia="en-CA"/>
                <w14:ligatures w14:val="none"/>
              </w:rPr>
              <w:t>MACD total profit (trade-by-trade)</w:t>
            </w:r>
          </w:p>
        </w:tc>
        <w:tc>
          <w:tcPr>
            <w:tcW w:w="793"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27148C5E" w14:textId="77777777" w:rsidR="00382F84" w:rsidRPr="00382F84" w:rsidRDefault="00382F84" w:rsidP="00382F84">
            <w:pPr>
              <w:spacing w:after="0" w:line="240" w:lineRule="auto"/>
              <w:rPr>
                <w:rFonts w:ascii="Calibri" w:eastAsia="Times New Roman" w:hAnsi="Calibri" w:cs="Calibri"/>
                <w:b/>
                <w:bCs/>
                <w:kern w:val="0"/>
                <w:sz w:val="22"/>
                <w:szCs w:val="22"/>
                <w:lang w:eastAsia="en-CA"/>
                <w14:ligatures w14:val="none"/>
              </w:rPr>
            </w:pPr>
            <w:r w:rsidRPr="00382F84">
              <w:rPr>
                <w:rFonts w:ascii="Calibri" w:eastAsia="Times New Roman" w:hAnsi="Calibri" w:cs="Calibri"/>
                <w:b/>
                <w:bCs/>
                <w:kern w:val="0"/>
                <w:sz w:val="22"/>
                <w:szCs w:val="22"/>
                <w:lang w:eastAsia="en-CA"/>
                <w14:ligatures w14:val="none"/>
              </w:rPr>
              <w:t>Buy &amp; Hold profit</w:t>
            </w:r>
          </w:p>
        </w:tc>
        <w:tc>
          <w:tcPr>
            <w:tcW w:w="1328"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5A59CB50" w14:textId="77777777" w:rsidR="00382F84" w:rsidRPr="00382F84" w:rsidRDefault="00382F84" w:rsidP="00382F84">
            <w:pPr>
              <w:spacing w:after="0" w:line="240" w:lineRule="auto"/>
              <w:rPr>
                <w:rFonts w:ascii="Calibri" w:eastAsia="Times New Roman" w:hAnsi="Calibri" w:cs="Calibri"/>
                <w:b/>
                <w:bCs/>
                <w:kern w:val="0"/>
                <w:sz w:val="22"/>
                <w:szCs w:val="22"/>
                <w:lang w:eastAsia="en-CA"/>
                <w14:ligatures w14:val="none"/>
              </w:rPr>
            </w:pPr>
            <w:r w:rsidRPr="00382F84">
              <w:rPr>
                <w:rFonts w:ascii="Calibri" w:eastAsia="Times New Roman" w:hAnsi="Calibri" w:cs="Calibri"/>
                <w:b/>
                <w:bCs/>
                <w:kern w:val="0"/>
                <w:sz w:val="22"/>
                <w:szCs w:val="22"/>
                <w:lang w:eastAsia="en-CA"/>
                <w14:ligatures w14:val="none"/>
              </w:rPr>
              <w:t xml:space="preserve">Difference (MACD - </w:t>
            </w:r>
            <w:proofErr w:type="spellStart"/>
            <w:r w:rsidRPr="00382F84">
              <w:rPr>
                <w:rFonts w:ascii="Calibri" w:eastAsia="Times New Roman" w:hAnsi="Calibri" w:cs="Calibri"/>
                <w:b/>
                <w:bCs/>
                <w:kern w:val="0"/>
                <w:sz w:val="22"/>
                <w:szCs w:val="22"/>
                <w:lang w:eastAsia="en-CA"/>
                <w14:ligatures w14:val="none"/>
              </w:rPr>
              <w:t>BuyHold</w:t>
            </w:r>
            <w:proofErr w:type="spellEnd"/>
            <w:r w:rsidRPr="00382F84">
              <w:rPr>
                <w:rFonts w:ascii="Calibri" w:eastAsia="Times New Roman" w:hAnsi="Calibri" w:cs="Calibri"/>
                <w:b/>
                <w:bCs/>
                <w:kern w:val="0"/>
                <w:sz w:val="22"/>
                <w:szCs w:val="22"/>
                <w:lang w:eastAsia="en-CA"/>
                <w14:ligatures w14:val="none"/>
              </w:rPr>
              <w:t>)</w:t>
            </w:r>
          </w:p>
        </w:tc>
        <w:tc>
          <w:tcPr>
            <w:tcW w:w="1319" w:type="pct"/>
            <w:tcBorders>
              <w:top w:val="single" w:sz="4" w:space="0" w:color="auto"/>
              <w:left w:val="nil"/>
              <w:bottom w:val="single" w:sz="4" w:space="0" w:color="auto"/>
              <w:right w:val="single" w:sz="4" w:space="0" w:color="auto"/>
            </w:tcBorders>
            <w:shd w:val="clear" w:color="auto" w:fill="CAEDFB" w:themeFill="accent4" w:themeFillTint="33"/>
            <w:noWrap/>
            <w:hideMark/>
          </w:tcPr>
          <w:p w14:paraId="41D99BBF" w14:textId="77777777" w:rsidR="00382F84" w:rsidRPr="00382F84" w:rsidRDefault="00382F84" w:rsidP="00382F84">
            <w:pPr>
              <w:spacing w:after="0" w:line="240" w:lineRule="auto"/>
              <w:rPr>
                <w:rFonts w:ascii="Calibri" w:eastAsia="Times New Roman" w:hAnsi="Calibri" w:cs="Calibri"/>
                <w:b/>
                <w:bCs/>
                <w:kern w:val="0"/>
                <w:sz w:val="22"/>
                <w:szCs w:val="22"/>
                <w:lang w:eastAsia="en-CA"/>
                <w14:ligatures w14:val="none"/>
              </w:rPr>
            </w:pPr>
            <w:r w:rsidRPr="00382F84">
              <w:rPr>
                <w:rFonts w:ascii="Calibri" w:eastAsia="Times New Roman" w:hAnsi="Calibri" w:cs="Calibri"/>
                <w:b/>
                <w:bCs/>
                <w:kern w:val="0"/>
                <w:sz w:val="22"/>
                <w:szCs w:val="22"/>
                <w:lang w:eastAsia="en-CA"/>
                <w14:ligatures w14:val="none"/>
              </w:rPr>
              <w:t>Number of completed trades</w:t>
            </w:r>
          </w:p>
        </w:tc>
      </w:tr>
      <w:tr w:rsidR="00382F84" w:rsidRPr="00382F84" w14:paraId="5936C7B9" w14:textId="77777777" w:rsidTr="00382F84">
        <w:trPr>
          <w:trHeight w:val="300"/>
        </w:trPr>
        <w:tc>
          <w:tcPr>
            <w:tcW w:w="1559" w:type="pct"/>
            <w:tcBorders>
              <w:top w:val="nil"/>
              <w:left w:val="single" w:sz="4" w:space="0" w:color="auto"/>
              <w:bottom w:val="single" w:sz="4" w:space="0" w:color="auto"/>
              <w:right w:val="single" w:sz="4" w:space="0" w:color="auto"/>
            </w:tcBorders>
            <w:noWrap/>
            <w:vAlign w:val="bottom"/>
            <w:hideMark/>
          </w:tcPr>
          <w:p w14:paraId="21240DB8" w14:textId="5BB77935" w:rsidR="00382F84" w:rsidRPr="00382F84" w:rsidRDefault="00382F84" w:rsidP="0051567A">
            <w:pPr>
              <w:spacing w:after="0" w:line="240" w:lineRule="auto"/>
              <w:jc w:val="center"/>
              <w:rPr>
                <w:rFonts w:ascii="Calibri" w:eastAsia="Times New Roman" w:hAnsi="Calibri" w:cs="Calibri"/>
                <w:color w:val="000000"/>
                <w:kern w:val="0"/>
                <w:sz w:val="22"/>
                <w:szCs w:val="22"/>
                <w:lang w:eastAsia="en-CA"/>
                <w14:ligatures w14:val="none"/>
              </w:rPr>
            </w:pPr>
            <w:r w:rsidRPr="00382F84">
              <w:rPr>
                <w:rFonts w:ascii="Calibri" w:eastAsia="Times New Roman" w:hAnsi="Calibri" w:cs="Calibri"/>
                <w:color w:val="000000"/>
                <w:kern w:val="0"/>
                <w:sz w:val="22"/>
                <w:szCs w:val="22"/>
                <w:lang w:eastAsia="en-CA"/>
                <w14:ligatures w14:val="none"/>
              </w:rPr>
              <w:t>6.271306824</w:t>
            </w:r>
          </w:p>
        </w:tc>
        <w:tc>
          <w:tcPr>
            <w:tcW w:w="793" w:type="pct"/>
            <w:tcBorders>
              <w:top w:val="nil"/>
              <w:left w:val="nil"/>
              <w:bottom w:val="single" w:sz="4" w:space="0" w:color="auto"/>
              <w:right w:val="single" w:sz="4" w:space="0" w:color="auto"/>
            </w:tcBorders>
            <w:noWrap/>
            <w:vAlign w:val="bottom"/>
            <w:hideMark/>
          </w:tcPr>
          <w:p w14:paraId="7F2F10ED" w14:textId="77777777" w:rsidR="00382F84" w:rsidRPr="00382F84" w:rsidRDefault="00382F84" w:rsidP="0051567A">
            <w:pPr>
              <w:spacing w:after="0" w:line="240" w:lineRule="auto"/>
              <w:jc w:val="center"/>
              <w:rPr>
                <w:rFonts w:ascii="Calibri" w:eastAsia="Times New Roman" w:hAnsi="Calibri" w:cs="Calibri"/>
                <w:color w:val="000000"/>
                <w:kern w:val="0"/>
                <w:sz w:val="22"/>
                <w:szCs w:val="22"/>
                <w:lang w:eastAsia="en-CA"/>
                <w14:ligatures w14:val="none"/>
              </w:rPr>
            </w:pPr>
            <w:r w:rsidRPr="00382F84">
              <w:rPr>
                <w:rFonts w:ascii="Calibri" w:eastAsia="Times New Roman" w:hAnsi="Calibri" w:cs="Calibri"/>
                <w:color w:val="000000"/>
                <w:kern w:val="0"/>
                <w:sz w:val="22"/>
                <w:szCs w:val="22"/>
                <w:lang w:eastAsia="en-CA"/>
                <w14:ligatures w14:val="none"/>
              </w:rPr>
              <w:t>32.0107505</w:t>
            </w:r>
          </w:p>
        </w:tc>
        <w:tc>
          <w:tcPr>
            <w:tcW w:w="1328" w:type="pct"/>
            <w:tcBorders>
              <w:top w:val="nil"/>
              <w:left w:val="nil"/>
              <w:bottom w:val="single" w:sz="4" w:space="0" w:color="auto"/>
              <w:right w:val="single" w:sz="4" w:space="0" w:color="auto"/>
            </w:tcBorders>
            <w:noWrap/>
            <w:vAlign w:val="bottom"/>
            <w:hideMark/>
          </w:tcPr>
          <w:p w14:paraId="4BA94012" w14:textId="77777777" w:rsidR="00382F84" w:rsidRPr="00382F84" w:rsidRDefault="00382F84" w:rsidP="0051567A">
            <w:pPr>
              <w:spacing w:after="0" w:line="240" w:lineRule="auto"/>
              <w:jc w:val="center"/>
              <w:rPr>
                <w:rFonts w:ascii="Calibri" w:eastAsia="Times New Roman" w:hAnsi="Calibri" w:cs="Calibri"/>
                <w:color w:val="000000"/>
                <w:kern w:val="0"/>
                <w:sz w:val="22"/>
                <w:szCs w:val="22"/>
                <w:lang w:eastAsia="en-CA"/>
                <w14:ligatures w14:val="none"/>
              </w:rPr>
            </w:pPr>
            <w:r w:rsidRPr="00382F84">
              <w:rPr>
                <w:rFonts w:ascii="Calibri" w:eastAsia="Times New Roman" w:hAnsi="Calibri" w:cs="Calibri"/>
                <w:color w:val="000000"/>
                <w:kern w:val="0"/>
                <w:sz w:val="22"/>
                <w:szCs w:val="22"/>
                <w:lang w:eastAsia="en-CA"/>
                <w14:ligatures w14:val="none"/>
              </w:rPr>
              <w:t>-25.73944367</w:t>
            </w:r>
          </w:p>
        </w:tc>
        <w:tc>
          <w:tcPr>
            <w:tcW w:w="1319" w:type="pct"/>
            <w:tcBorders>
              <w:top w:val="nil"/>
              <w:left w:val="nil"/>
              <w:bottom w:val="single" w:sz="4" w:space="0" w:color="auto"/>
              <w:right w:val="single" w:sz="4" w:space="0" w:color="auto"/>
            </w:tcBorders>
            <w:noWrap/>
            <w:vAlign w:val="bottom"/>
            <w:hideMark/>
          </w:tcPr>
          <w:p w14:paraId="370BC2A3" w14:textId="77777777" w:rsidR="00382F84" w:rsidRPr="00382F84" w:rsidRDefault="00382F84" w:rsidP="0051567A">
            <w:pPr>
              <w:spacing w:after="0" w:line="240" w:lineRule="auto"/>
              <w:jc w:val="center"/>
              <w:rPr>
                <w:rFonts w:ascii="Calibri" w:eastAsia="Times New Roman" w:hAnsi="Calibri" w:cs="Calibri"/>
                <w:color w:val="000000"/>
                <w:kern w:val="0"/>
                <w:sz w:val="22"/>
                <w:szCs w:val="22"/>
                <w:lang w:eastAsia="en-CA"/>
                <w14:ligatures w14:val="none"/>
              </w:rPr>
            </w:pPr>
            <w:r w:rsidRPr="00382F84">
              <w:rPr>
                <w:rFonts w:ascii="Calibri" w:eastAsia="Times New Roman" w:hAnsi="Calibri" w:cs="Calibri"/>
                <w:color w:val="000000"/>
                <w:kern w:val="0"/>
                <w:sz w:val="22"/>
                <w:szCs w:val="22"/>
                <w:lang w:eastAsia="en-CA"/>
                <w14:ligatures w14:val="none"/>
              </w:rPr>
              <w:t>7</w:t>
            </w:r>
          </w:p>
        </w:tc>
      </w:tr>
    </w:tbl>
    <w:p w14:paraId="4AC934D9" w14:textId="77777777" w:rsidR="0051567A" w:rsidRDefault="0051567A" w:rsidP="0051567A">
      <w:pPr>
        <w:spacing w:after="0"/>
        <w:ind w:left="720"/>
        <w:rPr>
          <w:rFonts w:ascii="Calibri" w:hAnsi="Calibri" w:cs="Calibri"/>
          <w:sz w:val="22"/>
          <w:szCs w:val="22"/>
        </w:rPr>
      </w:pPr>
    </w:p>
    <w:p w14:paraId="5927C186" w14:textId="1F3F86D7" w:rsidR="0047211A" w:rsidRDefault="0047211A" w:rsidP="0047211A">
      <w:pPr>
        <w:pStyle w:val="ListParagraph"/>
        <w:numPr>
          <w:ilvl w:val="0"/>
          <w:numId w:val="14"/>
        </w:numPr>
        <w:spacing w:after="0"/>
        <w:rPr>
          <w:rFonts w:ascii="Calibri" w:hAnsi="Calibri" w:cs="Calibri"/>
          <w:sz w:val="22"/>
          <w:szCs w:val="22"/>
        </w:rPr>
      </w:pPr>
      <w:r>
        <w:rPr>
          <w:rFonts w:ascii="Calibri" w:hAnsi="Calibri" w:cs="Calibri"/>
          <w:sz w:val="22"/>
          <w:szCs w:val="22"/>
        </w:rPr>
        <w:t>MACD strategy total profit is $6.27 per share</w:t>
      </w:r>
    </w:p>
    <w:p w14:paraId="1191735C" w14:textId="33E08CC2" w:rsidR="0047211A" w:rsidRDefault="0047211A" w:rsidP="0047211A">
      <w:pPr>
        <w:pStyle w:val="ListParagraph"/>
        <w:numPr>
          <w:ilvl w:val="0"/>
          <w:numId w:val="14"/>
        </w:numPr>
        <w:spacing w:after="0"/>
        <w:rPr>
          <w:rFonts w:ascii="Calibri" w:hAnsi="Calibri" w:cs="Calibri"/>
          <w:sz w:val="22"/>
          <w:szCs w:val="22"/>
        </w:rPr>
      </w:pPr>
      <w:r>
        <w:rPr>
          <w:rFonts w:ascii="Calibri" w:hAnsi="Calibri" w:cs="Calibri"/>
          <w:sz w:val="22"/>
          <w:szCs w:val="22"/>
        </w:rPr>
        <w:t>Buy-</w:t>
      </w:r>
      <w:r w:rsidR="00345DBC">
        <w:rPr>
          <w:rFonts w:ascii="Calibri" w:hAnsi="Calibri" w:cs="Calibri"/>
          <w:sz w:val="22"/>
          <w:szCs w:val="22"/>
        </w:rPr>
        <w:t>and-hold profit: $32.01 per share</w:t>
      </w:r>
    </w:p>
    <w:p w14:paraId="29D493CA" w14:textId="08BC2412" w:rsidR="00345DBC" w:rsidRPr="0047211A" w:rsidRDefault="00345DBC" w:rsidP="0047211A">
      <w:pPr>
        <w:pStyle w:val="ListParagraph"/>
        <w:numPr>
          <w:ilvl w:val="0"/>
          <w:numId w:val="14"/>
        </w:numPr>
        <w:spacing w:after="0"/>
        <w:rPr>
          <w:rFonts w:ascii="Calibri" w:hAnsi="Calibri" w:cs="Calibri"/>
          <w:sz w:val="22"/>
          <w:szCs w:val="22"/>
        </w:rPr>
      </w:pPr>
      <w:r>
        <w:rPr>
          <w:rFonts w:ascii="Calibri" w:hAnsi="Calibri" w:cs="Calibri"/>
          <w:sz w:val="22"/>
          <w:szCs w:val="22"/>
        </w:rPr>
        <w:t>Better strategy and by how much: Buy-and-hold by $25.74 per share (MACD-B&amp;H = -$25.74)</w:t>
      </w:r>
    </w:p>
    <w:p w14:paraId="76526230" w14:textId="77777777" w:rsidR="00C10705" w:rsidRDefault="00C10705" w:rsidP="00C0728D">
      <w:pPr>
        <w:spacing w:after="0"/>
        <w:ind w:left="720"/>
        <w:rPr>
          <w:rFonts w:ascii="Calibri" w:hAnsi="Calibri" w:cs="Calibri"/>
          <w:sz w:val="22"/>
          <w:szCs w:val="22"/>
        </w:rPr>
      </w:pPr>
    </w:p>
    <w:p w14:paraId="7A96378C" w14:textId="77777777" w:rsidR="00262909" w:rsidRPr="00262909" w:rsidRDefault="00262909" w:rsidP="00262909">
      <w:pPr>
        <w:spacing w:after="0"/>
        <w:ind w:left="720"/>
        <w:rPr>
          <w:rFonts w:ascii="Calibri" w:hAnsi="Calibri" w:cs="Calibri"/>
          <w:sz w:val="22"/>
          <w:szCs w:val="22"/>
        </w:rPr>
      </w:pPr>
      <w:r w:rsidRPr="00262909">
        <w:rPr>
          <w:rFonts w:ascii="Calibri" w:hAnsi="Calibri" w:cs="Calibri"/>
          <w:sz w:val="22"/>
          <w:szCs w:val="22"/>
        </w:rPr>
        <w:t>Using the MACD crossover rules and the required portfolio constraints (single-share, no short-selling, and mandatory initial purchase on 01-March-2023), the strategy generated a sequence of trades that produced a total profit of $6.27 per share over the period ending 11-September-2023. This value incorporates both realized gains from completed trades and the mark-to-market valuation of the final open position at the end of the sample.</w:t>
      </w:r>
    </w:p>
    <w:p w14:paraId="6FDDF6BC" w14:textId="77777777" w:rsidR="00262909" w:rsidRPr="00262909" w:rsidRDefault="00262909" w:rsidP="00262909">
      <w:pPr>
        <w:spacing w:after="0"/>
        <w:ind w:left="720"/>
        <w:rPr>
          <w:rFonts w:ascii="Calibri" w:hAnsi="Calibri" w:cs="Calibri"/>
          <w:sz w:val="22"/>
          <w:szCs w:val="22"/>
        </w:rPr>
      </w:pPr>
    </w:p>
    <w:p w14:paraId="314F7452" w14:textId="7A025AAB" w:rsidR="00262909" w:rsidRPr="00262909" w:rsidRDefault="00262909" w:rsidP="00262909">
      <w:pPr>
        <w:spacing w:after="0"/>
        <w:ind w:left="720"/>
        <w:rPr>
          <w:rFonts w:ascii="Calibri" w:hAnsi="Calibri" w:cs="Calibri"/>
          <w:sz w:val="22"/>
          <w:szCs w:val="22"/>
        </w:rPr>
      </w:pPr>
      <w:r w:rsidRPr="00262909">
        <w:rPr>
          <w:rFonts w:ascii="Calibri" w:hAnsi="Calibri" w:cs="Calibri"/>
          <w:sz w:val="22"/>
          <w:szCs w:val="22"/>
        </w:rPr>
        <w:t>In contrast, a passive buy-and-hold approach</w:t>
      </w:r>
      <w:r w:rsidR="007E4952">
        <w:rPr>
          <w:rFonts w:ascii="Calibri" w:hAnsi="Calibri" w:cs="Calibri"/>
          <w:sz w:val="22"/>
          <w:szCs w:val="22"/>
        </w:rPr>
        <w:t xml:space="preserve"> of </w:t>
      </w:r>
      <w:r w:rsidRPr="00262909">
        <w:rPr>
          <w:rFonts w:ascii="Calibri" w:hAnsi="Calibri" w:cs="Calibri"/>
          <w:sz w:val="22"/>
          <w:szCs w:val="22"/>
        </w:rPr>
        <w:t>purchasing one share on 01-March-2023 and holding it continuously until 11-September-2023</w:t>
      </w:r>
      <w:r>
        <w:rPr>
          <w:rFonts w:ascii="Calibri" w:hAnsi="Calibri" w:cs="Calibri"/>
          <w:sz w:val="22"/>
          <w:szCs w:val="22"/>
        </w:rPr>
        <w:t xml:space="preserve">, </w:t>
      </w:r>
      <w:r w:rsidRPr="00262909">
        <w:rPr>
          <w:rFonts w:ascii="Calibri" w:hAnsi="Calibri" w:cs="Calibri"/>
          <w:sz w:val="22"/>
          <w:szCs w:val="22"/>
        </w:rPr>
        <w:t>generated a substantially higher profit of $32.01 per share. The difference between the two approaches is therefore −$25.74 (MACD minus buy-and-hold), indicating that the MACD strategy underperformed buy-and-hold during this period.</w:t>
      </w:r>
    </w:p>
    <w:p w14:paraId="502E4887" w14:textId="73856864" w:rsidR="00EA029D" w:rsidRDefault="00EA029D">
      <w:pPr>
        <w:rPr>
          <w:rFonts w:ascii="Calibri" w:hAnsi="Calibri" w:cs="Calibri"/>
          <w:sz w:val="22"/>
          <w:szCs w:val="22"/>
        </w:rPr>
      </w:pPr>
      <w:r>
        <w:rPr>
          <w:rFonts w:ascii="Calibri" w:hAnsi="Calibri" w:cs="Calibri"/>
          <w:sz w:val="22"/>
          <w:szCs w:val="22"/>
        </w:rPr>
        <w:br w:type="page"/>
      </w:r>
    </w:p>
    <w:p w14:paraId="6002C0C7" w14:textId="77777777" w:rsidR="00262909" w:rsidRPr="00262909" w:rsidRDefault="00262909" w:rsidP="00262909">
      <w:pPr>
        <w:spacing w:after="0"/>
        <w:ind w:left="720"/>
        <w:rPr>
          <w:rFonts w:ascii="Calibri" w:hAnsi="Calibri" w:cs="Calibri"/>
          <w:sz w:val="22"/>
          <w:szCs w:val="22"/>
        </w:rPr>
      </w:pPr>
    </w:p>
    <w:p w14:paraId="56BF23D1" w14:textId="1AA13B9C" w:rsidR="00C70157" w:rsidRPr="00050376" w:rsidRDefault="00262909" w:rsidP="00262909">
      <w:pPr>
        <w:spacing w:after="0"/>
        <w:ind w:left="720"/>
        <w:rPr>
          <w:rFonts w:ascii="Calibri" w:hAnsi="Calibri" w:cs="Calibri"/>
          <w:sz w:val="22"/>
          <w:szCs w:val="22"/>
        </w:rPr>
      </w:pPr>
      <w:r w:rsidRPr="00262909">
        <w:rPr>
          <w:rFonts w:ascii="Calibri" w:hAnsi="Calibri" w:cs="Calibri"/>
          <w:sz w:val="22"/>
          <w:szCs w:val="22"/>
        </w:rPr>
        <w:t>The underperformance can be attributed to structural features of moving-average-based indicators. MACD signals are inherently lagging, causing entries to occur after upward trends have already begun and exits to occur after reversals are underway. In a period where prices generally moved upward, these delays reduce the strategy’s ability to capture the full trend. Additionally, crossover reversals can produce “whipsaws,” where the strategy exits and re-enters the position without meaningful price movement, reducing cumulative returns. Because the strategy is constrained to hold at most one share and cannot short the asset, it cannot offset these effects through contrarian positioning. Overall, the results suggest that over this sample window, buy-and-hold outperformed the MACD rule-based strategy.</w:t>
      </w:r>
    </w:p>
    <w:sectPr w:rsidR="00C70157" w:rsidRPr="00050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7F"/>
    <w:multiLevelType w:val="hybridMultilevel"/>
    <w:tmpl w:val="1E3C49C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BA4A06"/>
    <w:multiLevelType w:val="hybridMultilevel"/>
    <w:tmpl w:val="E848A6E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A7903D8"/>
    <w:multiLevelType w:val="hybridMultilevel"/>
    <w:tmpl w:val="89AE6D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110D63"/>
    <w:multiLevelType w:val="hybridMultilevel"/>
    <w:tmpl w:val="89E815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6CB069C"/>
    <w:multiLevelType w:val="hybridMultilevel"/>
    <w:tmpl w:val="0EDEBE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5066CB5"/>
    <w:multiLevelType w:val="hybridMultilevel"/>
    <w:tmpl w:val="8A4AE11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79A479B"/>
    <w:multiLevelType w:val="hybridMultilevel"/>
    <w:tmpl w:val="4510DFC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C566FD4"/>
    <w:multiLevelType w:val="hybridMultilevel"/>
    <w:tmpl w:val="B360EF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43F1347E"/>
    <w:multiLevelType w:val="hybridMultilevel"/>
    <w:tmpl w:val="3E525B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4C4E11EE"/>
    <w:multiLevelType w:val="hybridMultilevel"/>
    <w:tmpl w:val="4CAA77D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C532CB0"/>
    <w:multiLevelType w:val="hybridMultilevel"/>
    <w:tmpl w:val="1E5053C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B114313"/>
    <w:multiLevelType w:val="hybridMultilevel"/>
    <w:tmpl w:val="626AD6F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760D34B3"/>
    <w:multiLevelType w:val="hybridMultilevel"/>
    <w:tmpl w:val="EB6C134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77CB67FF"/>
    <w:multiLevelType w:val="hybridMultilevel"/>
    <w:tmpl w:val="00DE9BF8"/>
    <w:lvl w:ilvl="0" w:tplc="72B0554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775633194">
    <w:abstractNumId w:val="2"/>
  </w:num>
  <w:num w:numId="2" w16cid:durableId="705527750">
    <w:abstractNumId w:val="6"/>
  </w:num>
  <w:num w:numId="3" w16cid:durableId="1597401027">
    <w:abstractNumId w:val="11"/>
  </w:num>
  <w:num w:numId="4" w16cid:durableId="220094760">
    <w:abstractNumId w:val="0"/>
  </w:num>
  <w:num w:numId="5" w16cid:durableId="1988585738">
    <w:abstractNumId w:val="12"/>
  </w:num>
  <w:num w:numId="6" w16cid:durableId="331879092">
    <w:abstractNumId w:val="7"/>
  </w:num>
  <w:num w:numId="7" w16cid:durableId="662051807">
    <w:abstractNumId w:val="1"/>
  </w:num>
  <w:num w:numId="8" w16cid:durableId="1193418708">
    <w:abstractNumId w:val="5"/>
  </w:num>
  <w:num w:numId="9" w16cid:durableId="1400636040">
    <w:abstractNumId w:val="3"/>
  </w:num>
  <w:num w:numId="10" w16cid:durableId="807282086">
    <w:abstractNumId w:val="10"/>
  </w:num>
  <w:num w:numId="11" w16cid:durableId="1165365839">
    <w:abstractNumId w:val="4"/>
  </w:num>
  <w:num w:numId="12" w16cid:durableId="11733570">
    <w:abstractNumId w:val="8"/>
  </w:num>
  <w:num w:numId="13" w16cid:durableId="510611471">
    <w:abstractNumId w:val="9"/>
  </w:num>
  <w:num w:numId="14" w16cid:durableId="18847519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09"/>
    <w:rsid w:val="0000406E"/>
    <w:rsid w:val="00025962"/>
    <w:rsid w:val="00026262"/>
    <w:rsid w:val="000273AB"/>
    <w:rsid w:val="0004011D"/>
    <w:rsid w:val="00040ED7"/>
    <w:rsid w:val="00050376"/>
    <w:rsid w:val="00055B53"/>
    <w:rsid w:val="00060D65"/>
    <w:rsid w:val="0008796A"/>
    <w:rsid w:val="000A0250"/>
    <w:rsid w:val="000A0692"/>
    <w:rsid w:val="00103C3E"/>
    <w:rsid w:val="00106087"/>
    <w:rsid w:val="0013005A"/>
    <w:rsid w:val="00130098"/>
    <w:rsid w:val="001410E1"/>
    <w:rsid w:val="001469EA"/>
    <w:rsid w:val="00154648"/>
    <w:rsid w:val="00172876"/>
    <w:rsid w:val="00174551"/>
    <w:rsid w:val="00181C07"/>
    <w:rsid w:val="00193F48"/>
    <w:rsid w:val="00195326"/>
    <w:rsid w:val="001973D6"/>
    <w:rsid w:val="001A338C"/>
    <w:rsid w:val="001A446B"/>
    <w:rsid w:val="001A4C1B"/>
    <w:rsid w:val="001C4D38"/>
    <w:rsid w:val="001E6B18"/>
    <w:rsid w:val="001F31C1"/>
    <w:rsid w:val="001F4317"/>
    <w:rsid w:val="001F47EC"/>
    <w:rsid w:val="001F5C2F"/>
    <w:rsid w:val="0020271D"/>
    <w:rsid w:val="00202FC1"/>
    <w:rsid w:val="00204D90"/>
    <w:rsid w:val="002056C2"/>
    <w:rsid w:val="0020729B"/>
    <w:rsid w:val="00207A7A"/>
    <w:rsid w:val="00224AEF"/>
    <w:rsid w:val="00254596"/>
    <w:rsid w:val="00262909"/>
    <w:rsid w:val="00274CB5"/>
    <w:rsid w:val="00292729"/>
    <w:rsid w:val="002C4841"/>
    <w:rsid w:val="002E002B"/>
    <w:rsid w:val="0030666C"/>
    <w:rsid w:val="003122D6"/>
    <w:rsid w:val="0031749A"/>
    <w:rsid w:val="00317CD4"/>
    <w:rsid w:val="00320AB2"/>
    <w:rsid w:val="003344FC"/>
    <w:rsid w:val="003457FE"/>
    <w:rsid w:val="00345DBC"/>
    <w:rsid w:val="00355083"/>
    <w:rsid w:val="00356AAC"/>
    <w:rsid w:val="00380859"/>
    <w:rsid w:val="00382F84"/>
    <w:rsid w:val="003B6643"/>
    <w:rsid w:val="003B70F3"/>
    <w:rsid w:val="003E2A2C"/>
    <w:rsid w:val="003E5CC1"/>
    <w:rsid w:val="003F3903"/>
    <w:rsid w:val="004004C5"/>
    <w:rsid w:val="00433607"/>
    <w:rsid w:val="00434D78"/>
    <w:rsid w:val="004419D1"/>
    <w:rsid w:val="0044633C"/>
    <w:rsid w:val="004606B2"/>
    <w:rsid w:val="004617C6"/>
    <w:rsid w:val="00462A07"/>
    <w:rsid w:val="004635C2"/>
    <w:rsid w:val="0047211A"/>
    <w:rsid w:val="00476198"/>
    <w:rsid w:val="004A464F"/>
    <w:rsid w:val="004B2DA6"/>
    <w:rsid w:val="004F2B44"/>
    <w:rsid w:val="004F75A4"/>
    <w:rsid w:val="00502572"/>
    <w:rsid w:val="00506657"/>
    <w:rsid w:val="00511E3E"/>
    <w:rsid w:val="0051567A"/>
    <w:rsid w:val="005421E3"/>
    <w:rsid w:val="005769C5"/>
    <w:rsid w:val="00592A99"/>
    <w:rsid w:val="00594313"/>
    <w:rsid w:val="005945D5"/>
    <w:rsid w:val="005A5D01"/>
    <w:rsid w:val="005B37C2"/>
    <w:rsid w:val="005D7B49"/>
    <w:rsid w:val="005F5D90"/>
    <w:rsid w:val="006020A4"/>
    <w:rsid w:val="006061C8"/>
    <w:rsid w:val="00613A39"/>
    <w:rsid w:val="0062281B"/>
    <w:rsid w:val="006309F1"/>
    <w:rsid w:val="00635DBD"/>
    <w:rsid w:val="00642640"/>
    <w:rsid w:val="00643A2B"/>
    <w:rsid w:val="00650223"/>
    <w:rsid w:val="0066642A"/>
    <w:rsid w:val="00667ACD"/>
    <w:rsid w:val="00695794"/>
    <w:rsid w:val="006A23DE"/>
    <w:rsid w:val="006C0904"/>
    <w:rsid w:val="006D4BFD"/>
    <w:rsid w:val="006E1282"/>
    <w:rsid w:val="006F3601"/>
    <w:rsid w:val="00736A4F"/>
    <w:rsid w:val="007521B7"/>
    <w:rsid w:val="00753712"/>
    <w:rsid w:val="00753CA4"/>
    <w:rsid w:val="007768BA"/>
    <w:rsid w:val="0079196A"/>
    <w:rsid w:val="007964DA"/>
    <w:rsid w:val="007B307A"/>
    <w:rsid w:val="007C3E18"/>
    <w:rsid w:val="007E4952"/>
    <w:rsid w:val="007E690C"/>
    <w:rsid w:val="007E714D"/>
    <w:rsid w:val="007F16B4"/>
    <w:rsid w:val="00803839"/>
    <w:rsid w:val="00804E80"/>
    <w:rsid w:val="00820A67"/>
    <w:rsid w:val="00831690"/>
    <w:rsid w:val="00836B5B"/>
    <w:rsid w:val="008450A8"/>
    <w:rsid w:val="00882979"/>
    <w:rsid w:val="0088758C"/>
    <w:rsid w:val="008958BA"/>
    <w:rsid w:val="008A7396"/>
    <w:rsid w:val="008B23ED"/>
    <w:rsid w:val="008B41E3"/>
    <w:rsid w:val="008B76B4"/>
    <w:rsid w:val="008C2605"/>
    <w:rsid w:val="008F36D7"/>
    <w:rsid w:val="00911E89"/>
    <w:rsid w:val="0093078C"/>
    <w:rsid w:val="00945FA7"/>
    <w:rsid w:val="00985BDE"/>
    <w:rsid w:val="009A05B7"/>
    <w:rsid w:val="009B2055"/>
    <w:rsid w:val="009B3551"/>
    <w:rsid w:val="009C3B62"/>
    <w:rsid w:val="009C7EAA"/>
    <w:rsid w:val="009F43A6"/>
    <w:rsid w:val="00A12EF5"/>
    <w:rsid w:val="00A20C6F"/>
    <w:rsid w:val="00A32B9C"/>
    <w:rsid w:val="00A40820"/>
    <w:rsid w:val="00A40AAB"/>
    <w:rsid w:val="00A440CC"/>
    <w:rsid w:val="00A507BB"/>
    <w:rsid w:val="00A70B09"/>
    <w:rsid w:val="00A75BB6"/>
    <w:rsid w:val="00A84E66"/>
    <w:rsid w:val="00AB070E"/>
    <w:rsid w:val="00AB548A"/>
    <w:rsid w:val="00AD75A4"/>
    <w:rsid w:val="00AE4812"/>
    <w:rsid w:val="00AF1818"/>
    <w:rsid w:val="00AF1FDB"/>
    <w:rsid w:val="00AF5CE4"/>
    <w:rsid w:val="00B050BC"/>
    <w:rsid w:val="00B23230"/>
    <w:rsid w:val="00B25247"/>
    <w:rsid w:val="00B254D1"/>
    <w:rsid w:val="00B31D21"/>
    <w:rsid w:val="00B41B4C"/>
    <w:rsid w:val="00B67BD3"/>
    <w:rsid w:val="00B763C1"/>
    <w:rsid w:val="00BC2CD9"/>
    <w:rsid w:val="00BC48D3"/>
    <w:rsid w:val="00BD029C"/>
    <w:rsid w:val="00BE5602"/>
    <w:rsid w:val="00C0728D"/>
    <w:rsid w:val="00C10705"/>
    <w:rsid w:val="00C10B18"/>
    <w:rsid w:val="00C14390"/>
    <w:rsid w:val="00C25B74"/>
    <w:rsid w:val="00C35518"/>
    <w:rsid w:val="00C42B49"/>
    <w:rsid w:val="00C54C35"/>
    <w:rsid w:val="00C70157"/>
    <w:rsid w:val="00C7346D"/>
    <w:rsid w:val="00C75F7D"/>
    <w:rsid w:val="00C819EB"/>
    <w:rsid w:val="00C8204A"/>
    <w:rsid w:val="00CA03E9"/>
    <w:rsid w:val="00CB2DB8"/>
    <w:rsid w:val="00CB7DB6"/>
    <w:rsid w:val="00CC00C6"/>
    <w:rsid w:val="00CD6674"/>
    <w:rsid w:val="00CE1330"/>
    <w:rsid w:val="00CE5648"/>
    <w:rsid w:val="00CF4C5F"/>
    <w:rsid w:val="00D05630"/>
    <w:rsid w:val="00D145CA"/>
    <w:rsid w:val="00D17D1B"/>
    <w:rsid w:val="00D2426F"/>
    <w:rsid w:val="00D25F95"/>
    <w:rsid w:val="00D42CF4"/>
    <w:rsid w:val="00D45B41"/>
    <w:rsid w:val="00D53D62"/>
    <w:rsid w:val="00D54874"/>
    <w:rsid w:val="00D7288F"/>
    <w:rsid w:val="00D83251"/>
    <w:rsid w:val="00D84C6D"/>
    <w:rsid w:val="00DA5FF4"/>
    <w:rsid w:val="00DC3731"/>
    <w:rsid w:val="00DE49AF"/>
    <w:rsid w:val="00DE5378"/>
    <w:rsid w:val="00DF2816"/>
    <w:rsid w:val="00DF7A86"/>
    <w:rsid w:val="00E02E38"/>
    <w:rsid w:val="00E04CC7"/>
    <w:rsid w:val="00E12182"/>
    <w:rsid w:val="00E14EE1"/>
    <w:rsid w:val="00E2304E"/>
    <w:rsid w:val="00E2500E"/>
    <w:rsid w:val="00E4060A"/>
    <w:rsid w:val="00E52F25"/>
    <w:rsid w:val="00E74F5A"/>
    <w:rsid w:val="00EA00CA"/>
    <w:rsid w:val="00EA029D"/>
    <w:rsid w:val="00EA66F5"/>
    <w:rsid w:val="00EB5D71"/>
    <w:rsid w:val="00EC1FA2"/>
    <w:rsid w:val="00ED6A92"/>
    <w:rsid w:val="00EE10AE"/>
    <w:rsid w:val="00EE13D7"/>
    <w:rsid w:val="00EF4075"/>
    <w:rsid w:val="00F131E2"/>
    <w:rsid w:val="00F25B51"/>
    <w:rsid w:val="00F36F2E"/>
    <w:rsid w:val="00F6434A"/>
    <w:rsid w:val="00F651A0"/>
    <w:rsid w:val="00F8011D"/>
    <w:rsid w:val="00F86F7E"/>
    <w:rsid w:val="00F90B3A"/>
    <w:rsid w:val="00F952FF"/>
    <w:rsid w:val="00FA0655"/>
    <w:rsid w:val="00FD05F9"/>
    <w:rsid w:val="00FE04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BDF5"/>
  <w15:chartTrackingRefBased/>
  <w15:docId w15:val="{CB6EB583-E638-4FA6-9C7E-21D5BC12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09"/>
    <w:rPr>
      <w:rFonts w:eastAsiaTheme="majorEastAsia" w:cstheme="majorBidi"/>
      <w:color w:val="272727" w:themeColor="text1" w:themeTint="D8"/>
    </w:rPr>
  </w:style>
  <w:style w:type="paragraph" w:styleId="Title">
    <w:name w:val="Title"/>
    <w:basedOn w:val="Normal"/>
    <w:next w:val="Normal"/>
    <w:link w:val="TitleChar"/>
    <w:uiPriority w:val="10"/>
    <w:qFormat/>
    <w:rsid w:val="00A7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09"/>
    <w:pPr>
      <w:spacing w:before="160"/>
      <w:jc w:val="center"/>
    </w:pPr>
    <w:rPr>
      <w:i/>
      <w:iCs/>
      <w:color w:val="404040" w:themeColor="text1" w:themeTint="BF"/>
    </w:rPr>
  </w:style>
  <w:style w:type="character" w:customStyle="1" w:styleId="QuoteChar">
    <w:name w:val="Quote Char"/>
    <w:basedOn w:val="DefaultParagraphFont"/>
    <w:link w:val="Quote"/>
    <w:uiPriority w:val="29"/>
    <w:rsid w:val="00A70B09"/>
    <w:rPr>
      <w:i/>
      <w:iCs/>
      <w:color w:val="404040" w:themeColor="text1" w:themeTint="BF"/>
    </w:rPr>
  </w:style>
  <w:style w:type="paragraph" w:styleId="ListParagraph">
    <w:name w:val="List Paragraph"/>
    <w:basedOn w:val="Normal"/>
    <w:uiPriority w:val="34"/>
    <w:qFormat/>
    <w:rsid w:val="00A70B09"/>
    <w:pPr>
      <w:ind w:left="720"/>
      <w:contextualSpacing/>
    </w:pPr>
  </w:style>
  <w:style w:type="character" w:styleId="IntenseEmphasis">
    <w:name w:val="Intense Emphasis"/>
    <w:basedOn w:val="DefaultParagraphFont"/>
    <w:uiPriority w:val="21"/>
    <w:qFormat/>
    <w:rsid w:val="00A70B09"/>
    <w:rPr>
      <w:i/>
      <w:iCs/>
      <w:color w:val="0F4761" w:themeColor="accent1" w:themeShade="BF"/>
    </w:rPr>
  </w:style>
  <w:style w:type="paragraph" w:styleId="IntenseQuote">
    <w:name w:val="Intense Quote"/>
    <w:basedOn w:val="Normal"/>
    <w:next w:val="Normal"/>
    <w:link w:val="IntenseQuoteChar"/>
    <w:uiPriority w:val="30"/>
    <w:qFormat/>
    <w:rsid w:val="00A70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B09"/>
    <w:rPr>
      <w:i/>
      <w:iCs/>
      <w:color w:val="0F4761" w:themeColor="accent1" w:themeShade="BF"/>
    </w:rPr>
  </w:style>
  <w:style w:type="character" w:styleId="IntenseReference">
    <w:name w:val="Intense Reference"/>
    <w:basedOn w:val="DefaultParagraphFont"/>
    <w:uiPriority w:val="32"/>
    <w:qFormat/>
    <w:rsid w:val="00A70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2386</TotalTime>
  <Pages>12</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Ballesteros</dc:creator>
  <cp:keywords/>
  <dc:description/>
  <cp:lastModifiedBy>Pamela Ballesteros</cp:lastModifiedBy>
  <cp:revision>237</cp:revision>
  <dcterms:created xsi:type="dcterms:W3CDTF">2026-02-10T02:01:00Z</dcterms:created>
  <dcterms:modified xsi:type="dcterms:W3CDTF">2026-02-12T22:44:00Z</dcterms:modified>
</cp:coreProperties>
</file>