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AE0D" w14:textId="42566984" w:rsidR="004D1745" w:rsidRPr="004D1745" w:rsidRDefault="009C5B1B" w:rsidP="004D174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9C5B1B">
        <w:rPr>
          <w:rFonts w:ascii="Arial" w:hAnsi="Arial" w:cs="Arial"/>
          <w:b/>
          <w:bCs/>
          <w:lang w:val="en-US"/>
        </w:rPr>
        <w:t xml:space="preserve">Supplementary Table </w:t>
      </w:r>
      <w:r w:rsidR="004D1745">
        <w:rPr>
          <w:rFonts w:ascii="Arial" w:hAnsi="Arial" w:cs="Arial"/>
          <w:b/>
          <w:bCs/>
          <w:lang w:val="en-US"/>
        </w:rPr>
        <w:t>6</w:t>
      </w:r>
      <w:r w:rsidRPr="009C5B1B">
        <w:rPr>
          <w:rFonts w:ascii="Arial" w:hAnsi="Arial" w:cs="Arial"/>
          <w:b/>
          <w:bCs/>
          <w:lang w:val="en-US"/>
        </w:rPr>
        <w:t xml:space="preserve">. </w:t>
      </w:r>
      <w:r w:rsidR="004D1745" w:rsidRPr="004D1745">
        <w:rPr>
          <w:rFonts w:ascii="Arial" w:hAnsi="Arial" w:cs="Arial"/>
          <w:lang w:val="en-US"/>
        </w:rPr>
        <w:t>Quantitative diffusion MRI data-quality assessment and outlier slice distribution between LGG and HGG cohorts.</w:t>
      </w:r>
      <w:r w:rsidR="004D1745" w:rsidRPr="004D1745">
        <w:rPr>
          <w:rFonts w:ascii="Arial" w:hAnsi="Arial" w:cs="Arial"/>
          <w:lang w:val="en-US"/>
        </w:rPr>
        <w:t xml:space="preserve"> </w:t>
      </w:r>
      <w:r w:rsidR="004D1745" w:rsidRPr="004D1745">
        <w:rPr>
          <w:rFonts w:ascii="Arial" w:hAnsi="Arial" w:cs="Arial"/>
          <w:lang w:val="en-US"/>
        </w:rPr>
        <w:t>Abbreviations:</w:t>
      </w:r>
      <w:r w:rsidR="004D1745" w:rsidRPr="004D1745">
        <w:rPr>
          <w:rFonts w:ascii="Arial" w:hAnsi="Arial" w:cs="Arial"/>
          <w:lang w:val="en-US"/>
        </w:rPr>
        <w:t xml:space="preserve"> </w:t>
      </w:r>
      <w:r w:rsidR="004D1745" w:rsidRPr="004D1745">
        <w:rPr>
          <w:rFonts w:ascii="Arial" w:hAnsi="Arial" w:cs="Arial"/>
          <w:lang w:val="en-US"/>
        </w:rPr>
        <w:t>LGG: Low-Grade Glioma (WHO Grade II)</w:t>
      </w:r>
      <w:r w:rsidR="004D1745" w:rsidRPr="004D1745">
        <w:rPr>
          <w:rFonts w:ascii="Arial" w:hAnsi="Arial" w:cs="Arial"/>
          <w:lang w:val="en-US"/>
        </w:rPr>
        <w:t xml:space="preserve">; </w:t>
      </w:r>
      <w:r w:rsidR="004D1745" w:rsidRPr="004D1745">
        <w:rPr>
          <w:rFonts w:ascii="Arial" w:hAnsi="Arial" w:cs="Arial"/>
          <w:lang w:val="en-US"/>
        </w:rPr>
        <w:t>HGG: High-Grade Glioma (WHO Grades III &amp; IV)</w:t>
      </w:r>
      <w:r w:rsidR="004D1745" w:rsidRPr="004D1745">
        <w:rPr>
          <w:rFonts w:ascii="Arial" w:hAnsi="Arial" w:cs="Arial"/>
          <w:lang w:val="en-US"/>
        </w:rPr>
        <w:t xml:space="preserve">; </w:t>
      </w:r>
      <w:r w:rsidR="004D1745" w:rsidRPr="004D1745">
        <w:rPr>
          <w:rFonts w:ascii="Arial" w:hAnsi="Arial" w:cs="Arial"/>
          <w:lang w:val="en-US"/>
        </w:rPr>
        <w:t>SD: Standard Deviation</w:t>
      </w:r>
      <w:r w:rsidR="004D1745" w:rsidRPr="004D1745">
        <w:rPr>
          <w:rFonts w:ascii="Arial" w:hAnsi="Arial" w:cs="Arial"/>
          <w:lang w:val="en-US"/>
        </w:rPr>
        <w:t xml:space="preserve">; </w:t>
      </w:r>
      <w:r w:rsidR="004D1745" w:rsidRPr="004D1745">
        <w:rPr>
          <w:rFonts w:ascii="Arial" w:hAnsi="Arial" w:cs="Arial"/>
          <w:lang w:val="en-US"/>
        </w:rPr>
        <w:t>IQR: Interquartile Range (</w:t>
      </w:r>
      <w:r w:rsidR="00866FD5">
        <w:rPr>
          <w:rFonts w:ascii="Arial" w:hAnsi="Arial" w:cs="Arial"/>
          <w:lang w:val="en-US"/>
        </w:rPr>
        <w:t>Q</w:t>
      </w:r>
      <w:r w:rsidR="00866FD5">
        <w:rPr>
          <w:rFonts w:ascii="Arial" w:hAnsi="Arial" w:cs="Arial"/>
          <w:vertAlign w:val="subscript"/>
          <w:lang w:val="en-US"/>
        </w:rPr>
        <w:t>1</w:t>
      </w:r>
      <w:r w:rsidR="00866FD5">
        <w:rPr>
          <w:rFonts w:ascii="Arial" w:hAnsi="Arial" w:cs="Arial"/>
          <w:lang w:val="en-US"/>
        </w:rPr>
        <w:t>-Q</w:t>
      </w:r>
      <w:r w:rsidR="00866FD5">
        <w:rPr>
          <w:rFonts w:ascii="Arial" w:hAnsi="Arial" w:cs="Arial"/>
          <w:vertAlign w:val="subscript"/>
          <w:lang w:val="en-US"/>
        </w:rPr>
        <w:t>3</w:t>
      </w:r>
      <w:r w:rsidR="004D1745" w:rsidRPr="004D1745">
        <w:rPr>
          <w:rFonts w:ascii="Arial" w:hAnsi="Arial" w:cs="Arial"/>
          <w:lang w:val="en-US"/>
        </w:rPr>
        <w:t>)</w:t>
      </w:r>
      <w:r w:rsidR="004D1745" w:rsidRPr="004D1745">
        <w:rPr>
          <w:rFonts w:ascii="Arial" w:hAnsi="Arial" w:cs="Arial"/>
          <w:lang w:val="en-US"/>
        </w:rPr>
        <w:t xml:space="preserve">; </w:t>
      </w:r>
      <w:r w:rsidR="004D1745" w:rsidRPr="004D1745">
        <w:rPr>
          <w:rFonts w:ascii="Arial" w:hAnsi="Arial" w:cs="Arial"/>
          <w:lang w:val="en-US"/>
        </w:rPr>
        <w:t>FDR: False Discovery Rate (Benjamini–Hochberg procedure). p-value: Unadjusted raw p-value. p</w:t>
      </w:r>
      <w:r w:rsidR="004D1745" w:rsidRPr="004D1745">
        <w:rPr>
          <w:rFonts w:ascii="Arial" w:hAnsi="Arial" w:cs="Arial"/>
          <w:vertAlign w:val="subscript"/>
          <w:lang w:val="en-US"/>
        </w:rPr>
        <w:t xml:space="preserve">adj </w:t>
      </w:r>
      <w:r w:rsidR="004D1745" w:rsidRPr="004D1745">
        <w:rPr>
          <w:rFonts w:ascii="Arial" w:hAnsi="Arial" w:cs="Arial"/>
          <w:lang w:val="en-US"/>
        </w:rPr>
        <w:t>(Bonferroni): Adjusted p-value for multiple testing using the Bonferroni correction p</w:t>
      </w:r>
      <w:r w:rsidR="004D1745" w:rsidRPr="004D1745">
        <w:rPr>
          <w:rFonts w:ascii="Arial" w:hAnsi="Arial" w:cs="Arial"/>
          <w:vertAlign w:val="subscript"/>
          <w:lang w:val="en-US"/>
        </w:rPr>
        <w:t xml:space="preserve">adj </w:t>
      </w:r>
      <w:r w:rsidR="004D1745" w:rsidRPr="004D1745">
        <w:rPr>
          <w:rFonts w:ascii="Arial" w:hAnsi="Arial" w:cs="Arial"/>
          <w:lang w:val="en-US"/>
        </w:rPr>
        <w:t>(FDR): Adjusted p-value using the Benjamini-Hochberg False Discovery Rate procedure. * indicates statistically significant differences (p &lt; 0.05).</w:t>
      </w:r>
      <w:r w:rsidR="004D1745">
        <w:rPr>
          <w:rFonts w:ascii="Arial" w:hAnsi="Arial" w:cs="Arial"/>
          <w:sz w:val="20"/>
          <w:szCs w:val="20"/>
          <w:lang w:val="en-US"/>
        </w:rPr>
        <w:t xml:space="preserve"> </w:t>
      </w:r>
      <w:r w:rsidR="004D1745" w:rsidRPr="004D1745">
        <w:rPr>
          <w:rFonts w:ascii="Arial" w:hAnsi="Arial" w:cs="Arial"/>
          <w:lang w:val="en-US"/>
        </w:rPr>
        <w:t xml:space="preserve">Note: Outlier slice count refers to the total number of individual 2D slices across all 25 diffusion gradient directions flagged for severe motion dropout and interpolated prior to tensor estimation. </w:t>
      </w:r>
    </w:p>
    <w:p w14:paraId="60A4BC6C" w14:textId="3F812900" w:rsidR="00426C51" w:rsidRPr="004D1745" w:rsidRDefault="00426C51" w:rsidP="009C5B1B">
      <w:pPr>
        <w:jc w:val="both"/>
        <w:rPr>
          <w:rFonts w:ascii="Arial" w:hAnsi="Arial" w:cs="Arial"/>
          <w:lang w:val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209"/>
        <w:gridCol w:w="881"/>
        <w:gridCol w:w="880"/>
        <w:gridCol w:w="880"/>
        <w:gridCol w:w="802"/>
        <w:gridCol w:w="1387"/>
        <w:gridCol w:w="768"/>
        <w:gridCol w:w="1173"/>
        <w:gridCol w:w="858"/>
      </w:tblGrid>
      <w:tr w:rsidR="004D1745" w:rsidRPr="004D1745" w14:paraId="594096D9" w14:textId="77777777" w:rsidTr="004D1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697FE" w14:textId="77777777" w:rsidR="004D1745" w:rsidRPr="004D1745" w:rsidRDefault="004D1745" w:rsidP="004D1745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Metric / Parameter</w:t>
            </w:r>
          </w:p>
        </w:tc>
        <w:tc>
          <w:tcPr>
            <w:tcW w:w="0" w:type="auto"/>
            <w:hideMark/>
          </w:tcPr>
          <w:p w14:paraId="1371CF15" w14:textId="5E0C606A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Total Cohort (n=3</w:t>
            </w:r>
            <w:r>
              <w:rPr>
                <w:rFonts w:ascii="Arial" w:hAnsi="Arial" w:cs="Arial"/>
              </w:rPr>
              <w:t>5</w:t>
            </w:r>
            <w:r w:rsidRPr="004D174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10220A03" w14:textId="06DCC1F3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LGG Cohort (n=</w:t>
            </w:r>
            <w:r>
              <w:rPr>
                <w:rFonts w:ascii="Arial" w:hAnsi="Arial" w:cs="Arial"/>
              </w:rPr>
              <w:t>20</w:t>
            </w:r>
            <w:r w:rsidRPr="004D174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04E6BD1B" w14:textId="252DD81F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HGG Cohort (n=1</w:t>
            </w:r>
            <w:r>
              <w:rPr>
                <w:rFonts w:ascii="Arial" w:hAnsi="Arial" w:cs="Arial"/>
              </w:rPr>
              <w:t>5</w:t>
            </w:r>
            <w:r w:rsidRPr="004D174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22F16823" w14:textId="5C040CB7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p-value</w:t>
            </w:r>
          </w:p>
        </w:tc>
        <w:tc>
          <w:tcPr>
            <w:tcW w:w="0" w:type="auto"/>
            <w:hideMark/>
          </w:tcPr>
          <w:p w14:paraId="2234CA74" w14:textId="54F2FD7E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p</w:t>
            </w:r>
            <w:r w:rsidRPr="004D1745">
              <w:rPr>
                <w:rFonts w:ascii="Arial" w:hAnsi="Arial" w:cs="Arial"/>
                <w:vertAlign w:val="subscript"/>
              </w:rPr>
              <w:t>adj​</w:t>
            </w:r>
            <w:r>
              <w:rPr>
                <w:rFonts w:ascii="Arial" w:hAnsi="Arial" w:cs="Arial"/>
                <w:vertAlign w:val="subscript"/>
              </w:rPr>
              <w:t xml:space="preserve"> </w:t>
            </w:r>
            <w:r w:rsidRPr="004D1745">
              <w:rPr>
                <w:rFonts w:ascii="Arial" w:hAnsi="Arial" w:cs="Arial"/>
              </w:rPr>
              <w:t>(</w:t>
            </w:r>
            <w:r w:rsidRPr="004D1745">
              <w:rPr>
                <w:rFonts w:ascii="Arial" w:hAnsi="Arial" w:cs="Arial"/>
              </w:rPr>
              <w:t>Bonferroni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E477F68" w14:textId="6D3951EA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p</w:t>
            </w:r>
            <w:r w:rsidRPr="004D1745">
              <w:rPr>
                <w:rFonts w:ascii="Arial" w:hAnsi="Arial" w:cs="Arial"/>
                <w:vertAlign w:val="subscript"/>
              </w:rPr>
              <w:t>adj​</w:t>
            </w:r>
            <w:r>
              <w:rPr>
                <w:rFonts w:ascii="Arial" w:hAnsi="Arial" w:cs="Arial"/>
                <w:vertAlign w:val="subscript"/>
              </w:rPr>
              <w:t xml:space="preserve"> </w:t>
            </w:r>
            <w:r w:rsidRPr="004D1745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FDR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7EFAC9E" w14:textId="77777777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Statistical Test</w:t>
            </w:r>
          </w:p>
        </w:tc>
        <w:tc>
          <w:tcPr>
            <w:tcW w:w="0" w:type="auto"/>
            <w:hideMark/>
          </w:tcPr>
          <w:p w14:paraId="40BE228F" w14:textId="77777777" w:rsidR="004D1745" w:rsidRPr="004D1745" w:rsidRDefault="004D1745" w:rsidP="004D17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Effect Size</w:t>
            </w:r>
          </w:p>
        </w:tc>
      </w:tr>
      <w:tr w:rsidR="004D1745" w:rsidRPr="004D1745" w14:paraId="0E379C00" w14:textId="77777777" w:rsidTr="004D1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29E3E" w14:textId="77777777" w:rsidR="004D1745" w:rsidRPr="004D1745" w:rsidRDefault="004D1745" w:rsidP="004D1745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Outlier Slices (Mean ± SD)</w:t>
            </w:r>
          </w:p>
        </w:tc>
        <w:tc>
          <w:tcPr>
            <w:tcW w:w="0" w:type="auto"/>
            <w:hideMark/>
          </w:tcPr>
          <w:p w14:paraId="5E6D75E8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5.03 ± 9.66</w:t>
            </w:r>
          </w:p>
        </w:tc>
        <w:tc>
          <w:tcPr>
            <w:tcW w:w="0" w:type="auto"/>
            <w:hideMark/>
          </w:tcPr>
          <w:p w14:paraId="285126C4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6.00 ± 12.64</w:t>
            </w:r>
          </w:p>
        </w:tc>
        <w:tc>
          <w:tcPr>
            <w:tcW w:w="0" w:type="auto"/>
            <w:hideMark/>
          </w:tcPr>
          <w:p w14:paraId="4C48ECBE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3.93 ± 4.63</w:t>
            </w:r>
          </w:p>
        </w:tc>
        <w:tc>
          <w:tcPr>
            <w:tcW w:w="0" w:type="auto"/>
            <w:hideMark/>
          </w:tcPr>
          <w:p w14:paraId="24AF1010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6B0803E3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2D89FFA5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2221313D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6E6AB1E5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</w:tr>
      <w:tr w:rsidR="004D1745" w:rsidRPr="004D1745" w14:paraId="744A8DB1" w14:textId="77777777" w:rsidTr="004D1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85E95" w14:textId="77777777" w:rsidR="004D1745" w:rsidRPr="004D1745" w:rsidRDefault="004D1745" w:rsidP="004D1745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Outlier Slices (Median, IQR)</w:t>
            </w:r>
          </w:p>
        </w:tc>
        <w:tc>
          <w:tcPr>
            <w:tcW w:w="0" w:type="auto"/>
            <w:hideMark/>
          </w:tcPr>
          <w:p w14:paraId="6D011E8B" w14:textId="77777777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1.5 (0.0–3.0)</w:t>
            </w:r>
          </w:p>
        </w:tc>
        <w:tc>
          <w:tcPr>
            <w:tcW w:w="0" w:type="auto"/>
            <w:hideMark/>
          </w:tcPr>
          <w:p w14:paraId="5EFD9EF9" w14:textId="77777777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0.0 (0.0–1.2)</w:t>
            </w:r>
          </w:p>
        </w:tc>
        <w:tc>
          <w:tcPr>
            <w:tcW w:w="0" w:type="auto"/>
            <w:hideMark/>
          </w:tcPr>
          <w:p w14:paraId="42C8A6A0" w14:textId="77777777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3.0 (2.0–3.8)</w:t>
            </w:r>
          </w:p>
        </w:tc>
        <w:tc>
          <w:tcPr>
            <w:tcW w:w="0" w:type="auto"/>
            <w:hideMark/>
          </w:tcPr>
          <w:p w14:paraId="26AD1EBE" w14:textId="28B9B4D5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0.038</w:t>
            </w:r>
            <w:r w:rsidR="006722C1">
              <w:rPr>
                <w:rFonts w:ascii="Arial" w:hAnsi="Arial" w:cs="Arial"/>
              </w:rPr>
              <w:t>*</w:t>
            </w:r>
          </w:p>
        </w:tc>
        <w:tc>
          <w:tcPr>
            <w:tcW w:w="0" w:type="auto"/>
            <w:hideMark/>
          </w:tcPr>
          <w:p w14:paraId="5A8137F6" w14:textId="583C9F57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0.038</w:t>
            </w:r>
          </w:p>
        </w:tc>
        <w:tc>
          <w:tcPr>
            <w:tcW w:w="0" w:type="auto"/>
            <w:hideMark/>
          </w:tcPr>
          <w:p w14:paraId="2A4CC983" w14:textId="775B1C41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0.038</w:t>
            </w:r>
          </w:p>
        </w:tc>
        <w:tc>
          <w:tcPr>
            <w:tcW w:w="0" w:type="auto"/>
            <w:hideMark/>
          </w:tcPr>
          <w:p w14:paraId="5EDB64B4" w14:textId="6EB7FBC9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 xml:space="preserve">Mann–Whitney </w:t>
            </w:r>
            <m:oMath>
              <m:r>
                <w:rPr>
                  <w:rFonts w:ascii="Cambria Math" w:hAnsi="Cambria Math" w:cs="Arial"/>
                </w:rPr>
                <m:t>U=63.0</m:t>
              </m:r>
            </m:oMath>
          </w:p>
        </w:tc>
        <w:tc>
          <w:tcPr>
            <w:tcW w:w="0" w:type="auto"/>
            <w:hideMark/>
          </w:tcPr>
          <w:p w14:paraId="21B33D7C" w14:textId="2200E51F" w:rsidR="004D1745" w:rsidRPr="004D1745" w:rsidRDefault="004D1745" w:rsidP="004D1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 xml:space="preserve">Rank-biserial </w:t>
            </w:r>
            <m:oMath>
              <m:r>
                <w:rPr>
                  <w:rFonts w:ascii="Cambria Math" w:hAnsi="Cambria Math" w:cs="Arial"/>
                </w:rPr>
                <m:t>r=0.438</m:t>
              </m:r>
            </m:oMath>
          </w:p>
        </w:tc>
      </w:tr>
      <w:tr w:rsidR="004D1745" w:rsidRPr="004D1745" w14:paraId="0A7EC571" w14:textId="77777777" w:rsidTr="004D1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AC2B9" w14:textId="77777777" w:rsidR="004D1745" w:rsidRPr="004D1745" w:rsidRDefault="004D1745" w:rsidP="004D1745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Min – Max Range</w:t>
            </w:r>
          </w:p>
        </w:tc>
        <w:tc>
          <w:tcPr>
            <w:tcW w:w="0" w:type="auto"/>
            <w:hideMark/>
          </w:tcPr>
          <w:p w14:paraId="627D241F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 – 42</w:t>
            </w:r>
          </w:p>
        </w:tc>
        <w:tc>
          <w:tcPr>
            <w:tcW w:w="0" w:type="auto"/>
            <w:hideMark/>
          </w:tcPr>
          <w:p w14:paraId="75DFAF45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 – 42</w:t>
            </w:r>
          </w:p>
        </w:tc>
        <w:tc>
          <w:tcPr>
            <w:tcW w:w="0" w:type="auto"/>
            <w:hideMark/>
          </w:tcPr>
          <w:p w14:paraId="2153ED7E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0 – 18</w:t>
            </w:r>
          </w:p>
        </w:tc>
        <w:tc>
          <w:tcPr>
            <w:tcW w:w="0" w:type="auto"/>
            <w:hideMark/>
          </w:tcPr>
          <w:p w14:paraId="2BCAC554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1D00F718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49140373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1FD5214E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hideMark/>
          </w:tcPr>
          <w:p w14:paraId="4E6B6E99" w14:textId="77777777" w:rsidR="004D1745" w:rsidRPr="004D1745" w:rsidRDefault="004D1745" w:rsidP="004D17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D1745">
              <w:rPr>
                <w:rFonts w:ascii="Arial" w:hAnsi="Arial" w:cs="Arial"/>
              </w:rPr>
              <w:t>—</w:t>
            </w:r>
          </w:p>
        </w:tc>
      </w:tr>
    </w:tbl>
    <w:p w14:paraId="1BE26681" w14:textId="77777777" w:rsidR="009C5B1B" w:rsidRPr="004D1745" w:rsidRDefault="009C5B1B" w:rsidP="009C5B1B">
      <w:pPr>
        <w:jc w:val="both"/>
        <w:rPr>
          <w:rFonts w:ascii="Arial" w:hAnsi="Arial" w:cs="Arial"/>
          <w:lang w:val="en-US"/>
        </w:rPr>
      </w:pPr>
    </w:p>
    <w:sectPr w:rsidR="009C5B1B" w:rsidRPr="004D17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6466B"/>
    <w:multiLevelType w:val="multilevel"/>
    <w:tmpl w:val="703E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45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1B"/>
    <w:rsid w:val="00426C51"/>
    <w:rsid w:val="004D1745"/>
    <w:rsid w:val="0059368F"/>
    <w:rsid w:val="006722C1"/>
    <w:rsid w:val="00866FD5"/>
    <w:rsid w:val="009C5B1B"/>
    <w:rsid w:val="00D101CA"/>
    <w:rsid w:val="00FE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B4E6"/>
  <w15:chartTrackingRefBased/>
  <w15:docId w15:val="{82415F36-D652-4530-944E-2CF98C60B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B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B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B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B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B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B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B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B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B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B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B1B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9C5B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D17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3</cp:revision>
  <dcterms:created xsi:type="dcterms:W3CDTF">2026-08-13T22:15:00Z</dcterms:created>
  <dcterms:modified xsi:type="dcterms:W3CDTF">2026-08-14T20:17:00Z</dcterms:modified>
</cp:coreProperties>
</file>