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PRIMITIVE: Unified User Model</w:t>
      </w:r>
    </w:p>
    <w:p>
      <w:r>
        <w:rPr>
          <w:rFonts w:ascii="Arial" w:cs="Arial" w:eastAsia="Arial" w:hAnsi="Arial"/>
          <w:i/>
          <w:iCs/>
          <w:color w:val="666666"/>
          <w:sz w:val="22"/>
          <w:szCs w:val="22"/>
        </w:rPr>
        <w:t xml:space="preserve">Version 1.0 | Status: Authoritative | Last Updated: March 2026</w:t>
      </w:r>
    </w:p>
    <w:p>
      <w:r>
        <w:rPr>
          <w:rFonts w:ascii="Arial" w:cs="Arial" w:eastAsia="Arial" w:hAnsi="Arial"/>
          <w:i/>
          <w:iCs/>
          <w:color w:val="666666"/>
          <w:sz w:val="20"/>
          <w:szCs w:val="20"/>
        </w:rPr>
        <w:t xml:space="preserve">AI INSTRUCTION: Load this file first before implementing any feature that touches identity, authentication, roles, sessions, or audit. This spec is the single source of truth — do not infer or re-derive contracts from epic FRDs.</w:t>
      </w:r>
    </w:p>
    <w:p>
      <w:r>
        <w:t xml:space="preserve"/>
      </w:r>
    </w:p>
    <w:p>
      <w:pPr>
        <w:pStyle w:val="Heading2"/>
      </w:pPr>
      <w:r>
        <w:t xml:space="preserve">1. Purpose and Scope</w:t>
      </w:r>
    </w:p>
    <w:p>
      <w:r>
        <w:rPr>
          <w:rFonts w:ascii="Arial" w:cs="Arial" w:eastAsia="Arial" w:hAnsi="Arial"/>
          <w:sz w:val="22"/>
          <w:szCs w:val="22"/>
        </w:rPr>
        <w:t xml:space="preserve">This document defines the canonical data contracts, business rules, and invariants for all identity and access primitives. Every epic that references "Unified User Model", "Person", "AuthIdentifier", "RoleAssignment", "TenantMembership", or "AuditEvent" must treat this spec as authoritative.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1: One Person record per human, globally. Never duplicated. Person identity persists across tenants.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2: A Person may have multiple AuthIdentifiers (email, phone, Google, Apple, SSO). Each type+value combination is globally unique.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3: A Person may have TenantMemberships at multiple companies. Data is tenant-isolated via Row-Level Security (RLS).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4: RoleAssignments are scoped. A role + scope combination is unique per person per tenant.</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5: AuditEvents are append-only and immutable. Never updated or deleted. Retained minimum 3 years.</w:t>
            </w:r>
          </w:p>
        </w:tc>
      </w:tr>
    </w:tbl>
    <w:p>
      <w:r>
        <w:t xml:space="preserve"/>
      </w:r>
    </w:p>
    <w:p>
      <w:pPr>
        <w:pStyle w:val="Heading2"/>
      </w:pPr>
      <w:r>
        <w:t xml:space="preserve">2. Core Entities</w:t>
      </w:r>
    </w:p>
    <w:p>
      <w:pPr>
        <w:pStyle w:val="Heading3"/>
      </w:pPr>
      <w:r>
        <w:t xml:space="preserve">2.1 Person</w:t>
      </w:r>
    </w:p>
    <w:p>
      <w:r>
        <w:rPr>
          <w:rFonts w:ascii="Arial" w:cs="Arial" w:eastAsia="Arial" w:hAnsi="Arial"/>
          <w:sz w:val="22"/>
          <w:szCs w:val="22"/>
        </w:rPr>
        <w:t xml:space="preserve">The global identity record for every human in the platform. One record per human — never duplicated.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c>
          <w:tcPr>
            <w:tcW w:type="dxa" w:w="1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Globally unique. System-generated. Never reused.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person_type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MEMBER | STAFF | GUARDIAN | GUEST. Mutates as role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first name. PHI-safe logging: redacted in audit payloads.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family_name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Legal last name. PHI-safe logging: redacted in audit payloads.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date_of_birth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minor detection (is_minor flag). PHI-safe.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is_minor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Derived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Computed from date_of_birth. If true: guardian consent required for data capture and communication consent.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Denormalized for fast lookup. Source of truth is AuthIdentifier.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primary_phone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VARCHAR(30)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E.164 format. Denormalized. Source of truth is AuthIdentifier.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identity_photo_url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object storage reference. Set by Photo ID Capture module.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identity_photo_status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ACTIVE | PENDING_REVIEW | REJECTED | 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SUSPENDED | DEACTIVATED.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 after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on any field change.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merged_into_person_id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 when this record is merged into another. Immutable after set.</w:t>
            </w:r>
          </w:p>
        </w:tc>
      </w:tr>
    </w:tbl>
    <w:p>
      <w:r>
        <w:t xml:space="preserve"/>
      </w:r>
    </w:p>
    <w:p>
      <w:pPr>
        <w:pStyle w:val="Heading3"/>
      </w:pPr>
      <w:r>
        <w:t xml:space="preserve">2.2 AuthIdentifier</w:t>
      </w:r>
    </w:p>
    <w:p>
      <w:r>
        <w:rPr>
          <w:rFonts w:ascii="Arial" w:cs="Arial" w:eastAsia="Arial" w:hAnsi="Arial"/>
          <w:sz w:val="22"/>
          <w:szCs w:val="22"/>
        </w:rPr>
        <w:t xml:space="preserve">Links a Person to an authentication credential. A Person may have multiple AuthIdentifiers across different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100"/>
        <w:gridCol w:w="4460"/>
      </w:tblGrid>
      <w:tr>
        <w:tc>
          <w:tcPr>
            <w:tcW w:type="dxa" w:w="20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auth_identifier_id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Person. Immutable after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PHONE | GOOGLE | APPLE | SSO_OIDC | SSO_SAML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value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Hashed/tokenised. Never stored as plaintext. Globally unique per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until verification is completed.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idp_subject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for SSO_OIDC, SSO_SAML, GOOGLE, APPLE. The external IdP user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idp_tenant_id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SSO_OIDC and SSO_SAML. The IdP tenant/directory identifier.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ACTIVE | REVOKED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CONSTRAINT: type + value combination is globally unique across all tenants.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CONSTRAINT: A Person may not have two ACTIVE AuthIdentifiers of the same type (except SSO where multiple IdPs may be configured).</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BUSINESS RULE: Magic link tokens and OTP codes are NOT stored in AuthIdentifier — they are short-lived and stored hashed with expiry, deleted on use.</w:t>
            </w:r>
          </w:p>
        </w:tc>
      </w:tr>
    </w:tbl>
    <w:p>
      <w:r>
        <w:t xml:space="preserve"/>
      </w:r>
    </w:p>
    <w:p>
      <w:pPr>
        <w:pStyle w:val="Heading3"/>
      </w:pPr>
      <w:r>
        <w:t xml:space="preserve">2.3 TenantMembership</w:t>
      </w:r>
    </w:p>
    <w:p>
      <w:r>
        <w:rPr>
          <w:rFonts w:ascii="Arial" w:cs="Arial" w:eastAsia="Arial" w:hAnsi="Arial"/>
          <w:sz w:val="22"/>
          <w:szCs w:val="22"/>
        </w:rPr>
        <w:t xml:space="preserve">Links a Person to a Company (tenant). A Person may have memberships across multiple tenants.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c>
          <w:tcPr>
            <w:tcW w:type="dxa" w:w="22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membership_id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person_id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Person. Immutable after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Company (Org Hierarchy). Immutable after creation.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INVITED | ACTIVE | SUSPENDED | DEACTIVATED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invited_by_person_id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who initiated the invite.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invite_expires_at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when status=INVITED. Invite links expire after 72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p>
      <w:pPr>
        <w:pStyle w:val="Heading3"/>
      </w:pPr>
      <w:r>
        <w:t xml:space="preserve">2.4 RoleAssignment</w:t>
      </w:r>
    </w:p>
    <w:p>
      <w:r>
        <w:rPr>
          <w:rFonts w:ascii="Arial" w:cs="Arial" w:eastAsia="Arial" w:hAnsi="Arial"/>
          <w:sz w:val="22"/>
          <w:szCs w:val="22"/>
        </w:rPr>
        <w:t xml:space="preserve">Binds a Person to a role at a specific scope within a tenant. The source of all permission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c>
          <w:tcPr>
            <w:tcW w:type="dxa" w:w="22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person_id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Person.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context. Enforces isolation.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role_code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See Role Codes table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 ENTITY | LOCATION | DEPARTMENT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scope_id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the specific org object at scope_type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granted_by_person_id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who made the assignment. Immutable.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granted_at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expiry. System revokes on expiry.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reason_code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for privileged roles and SoD-constrained pairs.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EXPIRED | REVOKED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revoked_at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 on revocation.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revoked_by_person_id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who revoked. Set on revocation.</w:t>
            </w:r>
          </w:p>
        </w:tc>
      </w:tr>
    </w:tbl>
    <w:p>
      <w:r>
        <w:t xml:space="preserve"/>
      </w:r>
    </w:p>
    <w:p>
      <w:pPr>
        <w:pStyle w:val="Heading3"/>
      </w:pPr>
      <w:r>
        <w:t xml:space="preserve">2.5 Role Codes and Scope Compatibility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2760"/>
      </w:tblGrid>
      <w:tr>
        <w:tc>
          <w:tcPr>
            <w:tcW w:type="dxa" w:w="22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Role Code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27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COMPANY_ADMIN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tenant governance.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SECURITY_ADMIN</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Identity, access, SSO,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FINANCE_ADMIN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ops, exports, reconciliation.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TAX_BANK_CONFIG_ADMIN</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Tax and banking config. SoD-separated.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REGIONAL_MANAGER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Multi-location oversight.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LOCATION_MANAGER</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Single-location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FRONT_DESK_STAFF</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 check-in, member service.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INSTRUCTOR_COACH</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delivery, schedule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DEPARTMENT_LEAD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 scheduling and staffing.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AUDITOR</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Read-only. Audit log, evidence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role. Not a staff role.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GUARDIAN</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Acts on behalf of a minor member.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PLATFORM_SUPPORT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only. Break-glass via Epic 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SoD CONSTRAINT: SECURITY_ADMIN + FINANCE_ADMIN cannot be assigned to the same person at the same scope.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SoD CONSTRAINT: SECURITY_ADMIN + TAX_BANK_CONFIG_ADMIN cannot be assigned to the same person at the same scope.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SoD CONSTRAINT: FINANCE_ADMIN + TAX_BANK_CONFIG_ADMIN cannot be assigned to the same person at the same scope.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ENFORCEMENT: SoD validation runs per-item. Attempted violation returns HTTP 409 with conflict details.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DEFAULT-DENY: A person with no role assignments has zero access to tenant data.</w:t>
            </w:r>
          </w:p>
        </w:tc>
      </w:tr>
    </w:tbl>
    <w:p>
      <w:r>
        <w:t xml:space="preserve"/>
      </w:r>
    </w:p>
    <w:p>
      <w:pPr>
        <w:pStyle w:val="Heading3"/>
      </w:pPr>
      <w:r>
        <w:t xml:space="preserve">2.6 Session</w:t>
      </w:r>
    </w:p>
    <w:p>
      <w:r>
        <w:rPr>
          <w:rFonts w:ascii="Arial" w:cs="Arial" w:eastAsia="Arial" w:hAnsi="Arial"/>
          <w:sz w:val="22"/>
          <w:szCs w:val="22"/>
        </w:rPr>
        <w:t xml:space="preserve">Represents an authenticated session for any surface (web, mobile, shared device, admin console).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c>
          <w:tcPr>
            <w:tcW w:type="dxa" w:w="22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person_id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Owner of the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context for the session.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surface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WEB | MOBILE | SHARED_DEVICE | ADMIN_CONSOLE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auth_method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MAGIC_LINK | PHONE_OTP | GOOGLE | APPLE | SSO_OIDC | SSO_SAML | PIN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established_at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last_active_at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on each authenticated request.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expires_at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Idle timeout: 15 minutes (admin). Absolute: 12 hours (admin), 30 days (member mobile).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LOCKED | TERMINATED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reason_code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 on termination.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ip_address_hash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Hashed. PHI-safe. For security event correlation only.</w:t>
            </w:r>
          </w:p>
        </w:tc>
      </w:tr>
    </w:tbl>
    <w:p>
      <w:r>
        <w:t xml:space="preserve"/>
      </w:r>
    </w:p>
    <w:p>
      <w:pPr>
        <w:pStyle w:val="Heading3"/>
      </w:pPr>
      <w:r>
        <w:t xml:space="preserve">2.7 ImpersonationSession</w:t>
      </w:r>
    </w:p>
    <w:p>
      <w:r>
        <w:rPr>
          <w:rFonts w:ascii="Arial" w:cs="Arial" w:eastAsia="Arial" w:hAnsi="Arial"/>
          <w:sz w:val="22"/>
          <w:szCs w:val="22"/>
        </w:rPr>
        <w:t xml:space="preserve">Used by Platform Support for break-glass access. Requires step-up authentication. Cannot escalate privileges beyond the target person's roles.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impersonator_person_id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Must have PLATFORM_SUPPORT role. Immutable.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target_person_id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person being impersonated. Immutable.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started_at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4 hours. Non-renewable.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reason_code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Support case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TERMINATED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Impersonation banner is injected into every UI surface during an active ImpersonationSession.</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All actions taken during an ImpersonationSession are attributed to BOTH the impersonator and the target in audit events.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Impersonation cannot escalate privileges beyond the target person's active RoleAssignments.</w:t>
            </w:r>
          </w:p>
        </w:tc>
      </w:tr>
    </w:tbl>
    <w:p>
      <w:r>
        <w:t xml:space="preserve"/>
      </w:r>
    </w:p>
    <w:p>
      <w:pPr>
        <w:pStyle w:val="Heading3"/>
      </w:pPr>
      <w:r>
        <w:t xml:space="preserve">2.8 AuditEvent</w:t>
      </w:r>
    </w:p>
    <w:p>
      <w:r>
        <w:rPr>
          <w:rFonts w:ascii="Arial" w:cs="Arial" w:eastAsia="Arial" w:hAnsi="Arial"/>
          <w:sz w:val="22"/>
          <w:szCs w:val="22"/>
        </w:rPr>
        <w:t xml:space="preserve">The immutable audit log record. Append-only. Never updated or deleted.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43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 Immutable.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event_type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Dot-notation. e.g. user.invited, role.assigned, charge.committed.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actor_person_id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who triggered the event. For system events: system sentinel ID.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actor_type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 SYSTEM | IMPERSONATION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target_entity_type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Person, RoleAssignment, Charge, Offering.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target_entity_id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of the affected 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context. RLS enforced.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scope_type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 | ENTITY | LOCATION | DEPARTMENT. Null for global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context of the action.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occurred_at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 Server-set.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payload_hash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of the event payload. For integrity verification.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before_value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JSONB</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Redacted per PHI-safe logging allowlist. No raw PII.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after_value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Redacted per PHI-safe logging allowlist. No raw PII.</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correlation_id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Links events in the same request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ip_address_hash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Hashed. PHI-safe.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PHI-SAFE RULE: No raw PII in audit payloads. Use IDs and hashes only. Before/after values are redacted per allowlist.</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RETENTION: Minimum 3 years. Controlled by company audit retention policy. Expired events are not returned on queries.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INDEX: (company_id, occurred_at DESC) is the primary query path.</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IMMUTABILITY: No UPDATE or DELETE operations exist on AuditEvent. Enforced at DB constraint level.</w:t>
            </w:r>
          </w:p>
        </w:tc>
      </w:tr>
    </w:tbl>
    <w:p>
      <w:r>
        <w:t xml:space="preserve"/>
      </w:r>
    </w:p>
    <w:p>
      <w:pPr>
        <w:pStyle w:val="Heading2"/>
      </w:pPr>
      <w:r>
        <w:t xml:space="preserve">3. Authentication Business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57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2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UUM-BR-001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 link tokens are single-use and expire in 15 minutes. Stored hashed. Deleted on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auth</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UUM-BR-002</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Phone OTP codes are 6 digits, expire in 5 minutes. Max 5 requests per phone per hour.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Phone auth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UUM-BR-003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login (Google/Apple): if idp_subject matches existing AuthIdentifier → sign in. If email matches verified AuthIdentifier → link and sign in. Otherwise → create new Person.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auth</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UUM-BR-004</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SSO (OIDC/SAML): certificate expiry &lt; 90 days triggers admin warning. Configuration saved in draft until test login succeeds.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SSO config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UUM-BR-005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Step-up authentication is required for: exports, role changes, merges, refunds above threshold, access exceptions, break-glass elevation.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privileged actions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UUM-BR-006</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 idle timeout: 15 minutes (admin console). Absolute session limit: 12 hours (admin), 30 days (member mobile).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UUM-BR-007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messages on auth failures must not reveal whether an account exists (enumeration-safe).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auth surfaces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UUM-BR-008</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Brute-force protection: lockout after 5 failed PIN attempts per device. Email/phone auth: rate limited as per UUM-BR-002.</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auth surfaces</w:t>
            </w:r>
          </w:p>
        </w:tc>
      </w:tr>
    </w:tbl>
    <w:p>
      <w:r>
        <w:t xml:space="preserve"/>
      </w:r>
    </w:p>
    <w:p>
      <w:pPr>
        <w:pStyle w:val="Heading2"/>
      </w:pPr>
      <w:r>
        <w:t xml:space="preserve">4. Duplicate Detection and Merge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77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UUM-DUP-001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detection runs at registration and staff invite. Signals: matching email (exact), matching phone (exact), matching name + DOB proximity.</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UUM-DUP-002</w:t>
            </w:r>
          </w:p>
        </w:tc>
        <w:tc>
          <w:tcPr>
            <w:tcW w:type="dxa" w:w="7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Detected duplicates produce a DedupeCandidatePair with a confidence_score and signals_json. Status starts as PENDING_REVIEW.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UUM-DUP-003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requires explicit actor confirmation. Merge preview shows which record becomes primary and which fields will be merged/discarded.</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UUM-DUP-004</w:t>
            </w:r>
          </w:p>
        </w:tc>
        <w:tc>
          <w:tcPr>
            <w:tcW w:type="dxa" w:w="7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Merge is irreversible. The secondary record is flagged merged_into_person_id. Historical records referencing the secondary person_id are NOT rewritten — they retain their original attribution.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UUM-DUP-005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emits AuditEvent: person.merged with full before/after diff of merged fields.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UUM-DUP-006</w:t>
            </w:r>
          </w:p>
        </w:tc>
        <w:tc>
          <w:tcPr>
            <w:tcW w:type="dxa" w:w="7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Unsafe merge flags block merge: active disputes, security flags, concurrent active sessions on both records.</w:t>
            </w:r>
          </w:p>
        </w:tc>
      </w:tr>
    </w:tbl>
    <w:p>
      <w:r>
        <w:t xml:space="preserve"/>
      </w:r>
    </w:p>
    <w:p>
      <w:pPr>
        <w:pStyle w:val="Heading2"/>
      </w:pPr>
      <w:r>
        <w:t xml:space="preserve">5. API Contract Summary</w:t>
      </w:r>
    </w:p>
    <w:p>
      <w:r>
        <w:rPr>
          <w:rFonts w:ascii="Arial" w:cs="Arial" w:eastAsia="Arial" w:hAnsi="Arial"/>
          <w:i/>
          <w:iCs/>
          <w:color w:val="666666"/>
          <w:sz w:val="20"/>
          <w:szCs w:val="20"/>
        </w:rPr>
        <w:t xml:space="preserve">Full endpoint specs are in the FRD for each epic consuming these primitives. These are the canonical operation names — implementations must match exactly.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000"/>
        <w:gridCol w:w="2000"/>
        <w:gridCol w:w="11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11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member (email)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/v1/auth/register/email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Person + AuthIdentifier (EMAIL)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Register member (phone)</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/v1/auth/register/phone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w:t>
            </w:r>
          </w:p>
        </w:tc>
        <w:tc>
          <w:tcPr>
            <w:tcW w:type="dxa" w:w="1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Creates Person + AuthIdentifier (PHONE)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login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/v1/auth/social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 APPLE. Creates or links.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Verify magic link</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/v1/auth/verify/email-link</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w:t>
            </w:r>
          </w:p>
        </w:tc>
        <w:tc>
          <w:tcPr>
            <w:tcW w:type="dxa" w:w="1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Validates token. Creates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phone OTP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/v1/auth/verify/phone-otp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OTP. Creates session.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Invite staff</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/v1/staff/invite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SECURITY_ADMIN | COMPANY_ADMIN</w:t>
            </w:r>
          </w:p>
        </w:tc>
        <w:tc>
          <w:tcPr>
            <w:tcW w:type="dxa" w:w="1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Creates Person if needed. Creates RoleAssignment.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role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/v1/roles/assign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SECURITY_ADMIN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SoD validated. Audited.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Revoke role</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/v1/roles/{assignment_id}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SECURITY_ADMIN</w:t>
            </w:r>
          </w:p>
        </w:tc>
        <w:tc>
          <w:tcPr>
            <w:tcW w:type="dxa" w:w="1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Audited. Sets status=REVOKED.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effective access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/v1/persons/{person_id}/effective-access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SECURITY_ADMIN | COMPANY_ADMIN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Not cached.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Detect duplicates</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/v1/persons/dedup/detect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SECURITY_ADMIN | COMPANY_ADMIN</w:t>
            </w:r>
          </w:p>
        </w:tc>
        <w:tc>
          <w:tcPr>
            <w:tcW w:type="dxa" w:w="1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Returns DedupeCandidatePairs.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merge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/v1/persons/dedup/merge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SECURITY_ADMIN | COMPANY_ADMIN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Step-up required. Audited.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Start impersonation</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/v1/impersonation/start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PLATFORM_SUPPORT + step-up</w:t>
            </w:r>
          </w:p>
        </w:tc>
        <w:tc>
          <w:tcPr>
            <w:tcW w:type="dxa" w:w="1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Max 4 hours. Audited.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impersonation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/v1/impersonation/{session_id}/end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PLATFORM_SUPPORT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Configure SSO</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/v1/sso/configure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SECURITY_ADMIN</w:t>
            </w:r>
          </w:p>
        </w:tc>
        <w:tc>
          <w:tcPr>
            <w:tcW w:type="dxa" w:w="1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Draft until test login succeeds.</w:t>
            </w:r>
          </w:p>
        </w:tc>
      </w:tr>
    </w:tbl>
    <w:p>
      <w:r>
        <w:t xml:space="preserve"/>
      </w:r>
    </w:p>
    <w:p>
      <w:pPr>
        <w:pStyle w:val="Heading2"/>
      </w:pPr>
      <w:r>
        <w:t xml:space="preserve">6. Non-Functional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endpoints (login, token verify): p99 &lt; 300ms. Role resolution: &lt; 50ms. Effective access computation: &lt; 200ms.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tokens hashed. No PII in logs. PHI-safe audit payloads. Row-Level Security on all tenant data. NIST SP 800-63B/C compliance for authentication strength.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service: 99.9% uptime. Auth service degradation blocks login — no silent fallback to insecure paths.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Every authentication event, role change, and merge emits an AuditEvent. Minimum 3-year 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ASVS v4.0.3 for authentication. NIST SP 800-63A/B/C for identity assurance levels.</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79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F5C99"/>
      <w:sz w:val="24"/>
      <w:szCs w:val="24"/>
    </w:rPr>
  </w:style>
  <w:style w:type="paragraph" w:styleId="Heading4">
    <w:name w:val="Heading 4"/>
    <w:basedOn w:val="Normal"/>
    <w:next w:val="Normal"/>
    <w:qFormat/>
    <w:pPr>
      <w:spacing w:before="160" w:after="40"/>
      <w:outlineLvl w:val="3"/>
    </w:pPr>
    <w:rPr>
      <w:rFonts w:ascii="Arial" w:cs="Arial" w:eastAsia="Arial" w:hAnsi="Arial"/>
      <w:b/>
      <w:bCs/>
      <w:color w:val="2E57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2026-03-15T04:31:47.652Z</dcterms:created>
  <dcterms:modified xsi:type="dcterms:W3CDTF">2026-03-15T04:31:47.653Z</dcterms:modified>
</cp:coreProperties>
</file>

<file path=docProps/custom.xml><?xml version="1.0" encoding="utf-8"?>
<Properties xmlns="http://schemas.openxmlformats.org/officeDocument/2006/custom-properties" xmlns:vt="http://schemas.openxmlformats.org/officeDocument/2006/docPropsVTypes"/>
</file>