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0615" w14:textId="77777777" w:rsidR="0052548A" w:rsidRDefault="00BF47AE">
      <w:pPr>
        <w:pStyle w:val="Title"/>
      </w:pPr>
      <w:r>
        <w:t>Data analysis report</w:t>
      </w:r>
    </w:p>
    <w:p w14:paraId="2B06145B" w14:textId="77777777" w:rsidR="00065ABB" w:rsidRPr="00AA28EA" w:rsidRDefault="00065ABB" w:rsidP="00065ABB">
      <w:pPr>
        <w:pStyle w:val="Author"/>
        <w:rPr>
          <w:lang w:val="en-GB"/>
        </w:rPr>
      </w:pPr>
      <w:r w:rsidRPr="00AA28EA">
        <w:t xml:space="preserve">Peter Linders for </w:t>
      </w:r>
      <w:r>
        <w:t>Odile Filhol-Cochet</w:t>
      </w:r>
    </w:p>
    <w:commentRangeStart w:id="0"/>
    <w:p w14:paraId="10B538D9" w14:textId="35041B47" w:rsidR="00065ABB" w:rsidRDefault="00065ABB" w:rsidP="00065ABB">
      <w:pPr>
        <w:pStyle w:val="TOCHeading"/>
        <w:jc w:val="center"/>
        <w:rPr>
          <w:rFonts w:eastAsiaTheme="minorHAnsi" w:cstheme="minorBidi"/>
          <w:b w:val="0"/>
          <w:color w:val="auto"/>
          <w:szCs w:val="24"/>
        </w:rPr>
      </w:pPr>
      <w:r>
        <w:rPr>
          <w:rFonts w:eastAsiaTheme="minorHAnsi" w:cstheme="minorBidi"/>
          <w:b w:val="0"/>
          <w:color w:val="auto"/>
          <w:szCs w:val="24"/>
        </w:rPr>
        <w:fldChar w:fldCharType="begin"/>
      </w:r>
      <w:r>
        <w:rPr>
          <w:rFonts w:eastAsiaTheme="minorHAnsi" w:cstheme="minorBidi"/>
          <w:b w:val="0"/>
          <w:color w:val="auto"/>
          <w:szCs w:val="24"/>
        </w:rPr>
        <w:instrText xml:space="preserve"> DATE \@ "MMMM d, yyyy" </w:instrText>
      </w:r>
      <w:r>
        <w:rPr>
          <w:rFonts w:eastAsiaTheme="minorHAnsi" w:cstheme="minorBidi"/>
          <w:b w:val="0"/>
          <w:color w:val="auto"/>
          <w:szCs w:val="24"/>
        </w:rPr>
        <w:fldChar w:fldCharType="separate"/>
      </w:r>
      <w:r w:rsidR="0046059C">
        <w:rPr>
          <w:rFonts w:eastAsiaTheme="minorHAnsi" w:cstheme="minorBidi"/>
          <w:b w:val="0"/>
          <w:noProof/>
          <w:color w:val="auto"/>
          <w:szCs w:val="24"/>
        </w:rPr>
        <w:t>January 28, 2022</w:t>
      </w:r>
      <w:r>
        <w:rPr>
          <w:rFonts w:eastAsiaTheme="minorHAnsi" w:cstheme="minorBidi"/>
          <w:b w:val="0"/>
          <w:color w:val="auto"/>
          <w:szCs w:val="24"/>
        </w:rPr>
        <w:fldChar w:fldCharType="end"/>
      </w:r>
      <w:commentRangeEnd w:id="0"/>
      <w:r w:rsidR="00B33136">
        <w:rPr>
          <w:rStyle w:val="CommentReference"/>
          <w:rFonts w:eastAsiaTheme="minorHAnsi" w:cstheme="minorBidi"/>
          <w:b w:val="0"/>
          <w:color w:val="auto"/>
        </w:rPr>
        <w:commentReference w:id="0"/>
      </w:r>
    </w:p>
    <w:sdt>
      <w:sdtPr>
        <w:rPr>
          <w:rFonts w:eastAsiaTheme="minorHAnsi" w:cstheme="minorBidi"/>
          <w:b w:val="0"/>
          <w:color w:val="auto"/>
          <w:sz w:val="22"/>
          <w:szCs w:val="24"/>
        </w:rPr>
        <w:id w:val="-1002659646"/>
        <w:docPartObj>
          <w:docPartGallery w:val="Table of Contents"/>
          <w:docPartUnique/>
        </w:docPartObj>
      </w:sdtPr>
      <w:sdtEndPr>
        <w:rPr>
          <w:bCs/>
          <w:noProof/>
        </w:rPr>
      </w:sdtEndPr>
      <w:sdtContent>
        <w:p w14:paraId="21D13452" w14:textId="52548D15" w:rsidR="0011017B" w:rsidRDefault="0011017B">
          <w:pPr>
            <w:pStyle w:val="TOCHeading"/>
          </w:pPr>
          <w:r>
            <w:t>Table of Contents</w:t>
          </w:r>
        </w:p>
        <w:p w14:paraId="2E8A2BBF" w14:textId="21AAC730" w:rsidR="00B33136" w:rsidRDefault="0011017B">
          <w:pPr>
            <w:pStyle w:val="TOC1"/>
            <w:tabs>
              <w:tab w:val="right" w:leader="dot" w:pos="9017"/>
            </w:tabs>
            <w:rPr>
              <w:rFonts w:asciiTheme="minorHAnsi" w:eastAsiaTheme="minorEastAsia" w:hAnsiTheme="minorHAnsi"/>
              <w:noProof/>
              <w:szCs w:val="22"/>
              <w:lang w:val="en-GB" w:eastAsia="en-GB"/>
            </w:rPr>
          </w:pPr>
          <w:r>
            <w:fldChar w:fldCharType="begin"/>
          </w:r>
          <w:r>
            <w:instrText xml:space="preserve"> TOC \o "1-3" \h \z \u </w:instrText>
          </w:r>
          <w:r>
            <w:fldChar w:fldCharType="separate"/>
          </w:r>
          <w:hyperlink w:anchor="_Toc94269403" w:history="1">
            <w:r w:rsidR="00B33136" w:rsidRPr="00C75205">
              <w:rPr>
                <w:rStyle w:val="Hyperlink"/>
                <w:noProof/>
              </w:rPr>
              <w:t>1. Introduction</w:t>
            </w:r>
            <w:r w:rsidR="00B33136">
              <w:rPr>
                <w:noProof/>
                <w:webHidden/>
              </w:rPr>
              <w:tab/>
            </w:r>
            <w:r w:rsidR="00B33136">
              <w:rPr>
                <w:noProof/>
                <w:webHidden/>
              </w:rPr>
              <w:fldChar w:fldCharType="begin"/>
            </w:r>
            <w:r w:rsidR="00B33136">
              <w:rPr>
                <w:noProof/>
                <w:webHidden/>
              </w:rPr>
              <w:instrText xml:space="preserve"> PAGEREF _Toc94269403 \h </w:instrText>
            </w:r>
            <w:r w:rsidR="00B33136">
              <w:rPr>
                <w:noProof/>
                <w:webHidden/>
              </w:rPr>
            </w:r>
            <w:r w:rsidR="00B33136">
              <w:rPr>
                <w:noProof/>
                <w:webHidden/>
              </w:rPr>
              <w:fldChar w:fldCharType="separate"/>
            </w:r>
            <w:r w:rsidR="00B33136">
              <w:rPr>
                <w:noProof/>
                <w:webHidden/>
              </w:rPr>
              <w:t>2</w:t>
            </w:r>
            <w:r w:rsidR="00B33136">
              <w:rPr>
                <w:noProof/>
                <w:webHidden/>
              </w:rPr>
              <w:fldChar w:fldCharType="end"/>
            </w:r>
          </w:hyperlink>
        </w:p>
        <w:p w14:paraId="05BD1BD4" w14:textId="34105669" w:rsidR="00B33136" w:rsidRDefault="00B33136">
          <w:pPr>
            <w:pStyle w:val="TOC2"/>
            <w:tabs>
              <w:tab w:val="right" w:leader="dot" w:pos="9017"/>
            </w:tabs>
            <w:rPr>
              <w:rFonts w:asciiTheme="minorHAnsi" w:eastAsiaTheme="minorEastAsia" w:hAnsiTheme="minorHAnsi"/>
              <w:noProof/>
              <w:szCs w:val="22"/>
              <w:lang w:val="en-GB" w:eastAsia="en-GB"/>
            </w:rPr>
          </w:pPr>
          <w:hyperlink w:anchor="_Toc94269404" w:history="1">
            <w:r w:rsidRPr="00C75205">
              <w:rPr>
                <w:rStyle w:val="Hyperlink"/>
                <w:noProof/>
              </w:rPr>
              <w:t>1.1. Study Information</w:t>
            </w:r>
            <w:r>
              <w:rPr>
                <w:noProof/>
                <w:webHidden/>
              </w:rPr>
              <w:tab/>
            </w:r>
            <w:r>
              <w:rPr>
                <w:noProof/>
                <w:webHidden/>
              </w:rPr>
              <w:fldChar w:fldCharType="begin"/>
            </w:r>
            <w:r>
              <w:rPr>
                <w:noProof/>
                <w:webHidden/>
              </w:rPr>
              <w:instrText xml:space="preserve"> PAGEREF _Toc94269404 \h </w:instrText>
            </w:r>
            <w:r>
              <w:rPr>
                <w:noProof/>
                <w:webHidden/>
              </w:rPr>
            </w:r>
            <w:r>
              <w:rPr>
                <w:noProof/>
                <w:webHidden/>
              </w:rPr>
              <w:fldChar w:fldCharType="separate"/>
            </w:r>
            <w:r>
              <w:rPr>
                <w:noProof/>
                <w:webHidden/>
              </w:rPr>
              <w:t>2</w:t>
            </w:r>
            <w:r>
              <w:rPr>
                <w:noProof/>
                <w:webHidden/>
              </w:rPr>
              <w:fldChar w:fldCharType="end"/>
            </w:r>
          </w:hyperlink>
        </w:p>
        <w:p w14:paraId="42E13489" w14:textId="2DC2A986" w:rsidR="00B33136" w:rsidRDefault="00B33136">
          <w:pPr>
            <w:pStyle w:val="TOC1"/>
            <w:tabs>
              <w:tab w:val="right" w:leader="dot" w:pos="9017"/>
            </w:tabs>
            <w:rPr>
              <w:rFonts w:asciiTheme="minorHAnsi" w:eastAsiaTheme="minorEastAsia" w:hAnsiTheme="minorHAnsi"/>
              <w:noProof/>
              <w:szCs w:val="22"/>
              <w:lang w:val="en-GB" w:eastAsia="en-GB"/>
            </w:rPr>
          </w:pPr>
          <w:hyperlink w:anchor="_Toc94269405" w:history="1">
            <w:r w:rsidRPr="00C75205">
              <w:rPr>
                <w:rStyle w:val="Hyperlink"/>
                <w:noProof/>
              </w:rPr>
              <w:t>2. Results</w:t>
            </w:r>
            <w:r>
              <w:rPr>
                <w:noProof/>
                <w:webHidden/>
              </w:rPr>
              <w:tab/>
            </w:r>
            <w:r>
              <w:rPr>
                <w:noProof/>
                <w:webHidden/>
              </w:rPr>
              <w:fldChar w:fldCharType="begin"/>
            </w:r>
            <w:r>
              <w:rPr>
                <w:noProof/>
                <w:webHidden/>
              </w:rPr>
              <w:instrText xml:space="preserve"> PAGEREF _Toc94269405 \h </w:instrText>
            </w:r>
            <w:r>
              <w:rPr>
                <w:noProof/>
                <w:webHidden/>
              </w:rPr>
            </w:r>
            <w:r>
              <w:rPr>
                <w:noProof/>
                <w:webHidden/>
              </w:rPr>
              <w:fldChar w:fldCharType="separate"/>
            </w:r>
            <w:r>
              <w:rPr>
                <w:noProof/>
                <w:webHidden/>
              </w:rPr>
              <w:t>2</w:t>
            </w:r>
            <w:r>
              <w:rPr>
                <w:noProof/>
                <w:webHidden/>
              </w:rPr>
              <w:fldChar w:fldCharType="end"/>
            </w:r>
          </w:hyperlink>
        </w:p>
        <w:p w14:paraId="54A93F2A" w14:textId="4111CCAF" w:rsidR="00B33136" w:rsidRDefault="00B33136">
          <w:pPr>
            <w:pStyle w:val="TOC2"/>
            <w:tabs>
              <w:tab w:val="right" w:leader="dot" w:pos="9017"/>
            </w:tabs>
            <w:rPr>
              <w:rFonts w:asciiTheme="minorHAnsi" w:eastAsiaTheme="minorEastAsia" w:hAnsiTheme="minorHAnsi"/>
              <w:noProof/>
              <w:szCs w:val="22"/>
              <w:lang w:val="en-GB" w:eastAsia="en-GB"/>
            </w:rPr>
          </w:pPr>
          <w:hyperlink w:anchor="_Toc94269406" w:history="1">
            <w:r w:rsidRPr="00C75205">
              <w:rPr>
                <w:rStyle w:val="Hyperlink"/>
                <w:noProof/>
              </w:rPr>
              <w:t>2.1. Differential analysis at the phosphosite level</w:t>
            </w:r>
            <w:r>
              <w:rPr>
                <w:noProof/>
                <w:webHidden/>
              </w:rPr>
              <w:tab/>
            </w:r>
            <w:r>
              <w:rPr>
                <w:noProof/>
                <w:webHidden/>
              </w:rPr>
              <w:fldChar w:fldCharType="begin"/>
            </w:r>
            <w:r>
              <w:rPr>
                <w:noProof/>
                <w:webHidden/>
              </w:rPr>
              <w:instrText xml:space="preserve"> PAGEREF _Toc94269406 \h </w:instrText>
            </w:r>
            <w:r>
              <w:rPr>
                <w:noProof/>
                <w:webHidden/>
              </w:rPr>
            </w:r>
            <w:r>
              <w:rPr>
                <w:noProof/>
                <w:webHidden/>
              </w:rPr>
              <w:fldChar w:fldCharType="separate"/>
            </w:r>
            <w:r>
              <w:rPr>
                <w:noProof/>
                <w:webHidden/>
              </w:rPr>
              <w:t>2</w:t>
            </w:r>
            <w:r>
              <w:rPr>
                <w:noProof/>
                <w:webHidden/>
              </w:rPr>
              <w:fldChar w:fldCharType="end"/>
            </w:r>
          </w:hyperlink>
        </w:p>
        <w:p w14:paraId="7BE90E76" w14:textId="44F83F8F" w:rsidR="00B33136" w:rsidRDefault="00B33136">
          <w:pPr>
            <w:pStyle w:val="TOC2"/>
            <w:tabs>
              <w:tab w:val="right" w:leader="dot" w:pos="9017"/>
            </w:tabs>
            <w:rPr>
              <w:rFonts w:asciiTheme="minorHAnsi" w:eastAsiaTheme="minorEastAsia" w:hAnsiTheme="minorHAnsi"/>
              <w:noProof/>
              <w:szCs w:val="22"/>
              <w:lang w:val="en-GB" w:eastAsia="en-GB"/>
            </w:rPr>
          </w:pPr>
          <w:hyperlink w:anchor="_Toc94269407" w:history="1">
            <w:r w:rsidRPr="00C75205">
              <w:rPr>
                <w:rStyle w:val="Hyperlink"/>
                <w:noProof/>
              </w:rPr>
              <w:t>2.2. Differential analysis at the kinase level</w:t>
            </w:r>
            <w:r>
              <w:rPr>
                <w:noProof/>
                <w:webHidden/>
              </w:rPr>
              <w:tab/>
            </w:r>
            <w:r>
              <w:rPr>
                <w:noProof/>
                <w:webHidden/>
              </w:rPr>
              <w:fldChar w:fldCharType="begin"/>
            </w:r>
            <w:r>
              <w:rPr>
                <w:noProof/>
                <w:webHidden/>
              </w:rPr>
              <w:instrText xml:space="preserve"> PAGEREF _Toc94269407 \h </w:instrText>
            </w:r>
            <w:r>
              <w:rPr>
                <w:noProof/>
                <w:webHidden/>
              </w:rPr>
            </w:r>
            <w:r>
              <w:rPr>
                <w:noProof/>
                <w:webHidden/>
              </w:rPr>
              <w:fldChar w:fldCharType="separate"/>
            </w:r>
            <w:r>
              <w:rPr>
                <w:noProof/>
                <w:webHidden/>
              </w:rPr>
              <w:t>3</w:t>
            </w:r>
            <w:r>
              <w:rPr>
                <w:noProof/>
                <w:webHidden/>
              </w:rPr>
              <w:fldChar w:fldCharType="end"/>
            </w:r>
          </w:hyperlink>
        </w:p>
        <w:p w14:paraId="71D0FABD" w14:textId="36DCCDC3" w:rsidR="0011017B" w:rsidRDefault="0011017B">
          <w:r>
            <w:rPr>
              <w:b/>
              <w:bCs/>
              <w:noProof/>
            </w:rPr>
            <w:fldChar w:fldCharType="end"/>
          </w:r>
        </w:p>
      </w:sdtContent>
    </w:sdt>
    <w:p w14:paraId="471F151A" w14:textId="77777777" w:rsidR="0011017B" w:rsidRPr="0011017B" w:rsidRDefault="0011017B" w:rsidP="0011017B">
      <w:pPr>
        <w:pStyle w:val="BodyText"/>
      </w:pPr>
    </w:p>
    <w:p w14:paraId="66DE8FF0" w14:textId="13E72F42" w:rsidR="0052548A" w:rsidRDefault="00FE3ECC">
      <w:pPr>
        <w:pStyle w:val="Heading9"/>
      </w:pPr>
      <w:bookmarkStart w:id="1" w:name="section"/>
      <w:bookmarkEnd w:id="1"/>
      <w:r>
        <w:lastRenderedPageBreak/>
        <w:t>[</w:t>
      </w:r>
    </w:p>
    <w:p w14:paraId="0344CCF2" w14:textId="15440184" w:rsidR="0052548A" w:rsidRDefault="0011017B">
      <w:pPr>
        <w:pStyle w:val="Heading1"/>
      </w:pPr>
      <w:bookmarkStart w:id="2" w:name="_Toc94269403"/>
      <w:r>
        <w:t>Introduction</w:t>
      </w:r>
      <w:bookmarkEnd w:id="2"/>
    </w:p>
    <w:p w14:paraId="0B1CD8E1" w14:textId="38416AE6" w:rsidR="00F62ACB" w:rsidRDefault="00CF439A" w:rsidP="00CF439A">
      <w:pPr>
        <w:pStyle w:val="BodyText"/>
        <w:jc w:val="both"/>
      </w:pPr>
      <w:r w:rsidRPr="00AA28EA">
        <w:t xml:space="preserve">The PamGene assays measure kinase activity in cell and tissue lysates by measuring the phosphorylation of peptide representations of kinase targets/ substrates (referred hereafter as phosphosites) that are immobilized on the PamChip® microarrays. The active kinases in the sample lysates will phosphorylate their target on the array. Generic fluorescent labeled antibodies that recognize phosphorylated residues are used to visualize the phosphorylation. There are two types of PamChip® microarrays; one has 196 protein tyrosine kinase (PTK) and the other 144 serine/threonine kinase (STK) phosphosites. </w:t>
      </w:r>
      <w:r w:rsidR="00F62ACB">
        <w:t xml:space="preserve">The supplement to this report can be found as </w:t>
      </w:r>
      <w:r w:rsidR="00F62ACB">
        <w:rPr>
          <w:rStyle w:val="VerbatimChar"/>
        </w:rPr>
        <w:t>211222_PamGene_S</w:t>
      </w:r>
      <w:r w:rsidR="00F62ACB" w:rsidRPr="00AA28EA">
        <w:rPr>
          <w:rStyle w:val="VerbatimChar"/>
        </w:rPr>
        <w:t>upplement.docx</w:t>
      </w:r>
      <w:r w:rsidR="00F62ACB">
        <w:t>, hereafter referred to as Supplement.</w:t>
      </w:r>
    </w:p>
    <w:p w14:paraId="035A775B" w14:textId="50C8CC3C" w:rsidR="0046059C" w:rsidRDefault="0046059C" w:rsidP="000048EB">
      <w:pPr>
        <w:pStyle w:val="Heading2"/>
      </w:pPr>
      <w:bookmarkStart w:id="3" w:name="_Toc94269404"/>
      <w:r>
        <w:t>Study Information</w:t>
      </w:r>
      <w:bookmarkEnd w:id="3"/>
    </w:p>
    <w:p w14:paraId="1BE2405A" w14:textId="77777777" w:rsidR="0046059C" w:rsidRDefault="0046059C" w:rsidP="0046059C">
      <w:pPr>
        <w:pStyle w:val="FirstParagraph"/>
        <w:jc w:val="both"/>
      </w:pPr>
      <w:r>
        <w:t>We investigated the kinases implicated in treatments T1-96 and T2-97 by measuring the kinase activity of the MCF10A parental cells (C-WT), transduced with an shRNA targeting CSNK2B (T1-96) or a control shRNA (T2-97) using PamGene’s PTK and STK assays.</w:t>
      </w:r>
      <w:r w:rsidRPr="002933D4">
        <w:t xml:space="preserve"> </w:t>
      </w:r>
    </w:p>
    <w:p w14:paraId="69953369" w14:textId="5155FECF" w:rsidR="0046059C" w:rsidRPr="000668D7" w:rsidRDefault="0046059C" w:rsidP="0046059C">
      <w:pPr>
        <w:pStyle w:val="BodyText"/>
        <w:rPr>
          <w:b/>
          <w:bCs/>
        </w:rPr>
      </w:pPr>
      <w:r w:rsidRPr="000668D7">
        <w:rPr>
          <w:b/>
          <w:bCs/>
          <w:highlight w:val="yellow"/>
        </w:rPr>
        <w:t>Specific aim</w:t>
      </w:r>
    </w:p>
    <w:p w14:paraId="6B1D2CE7" w14:textId="09AD2B93" w:rsidR="000048EB" w:rsidRPr="000668D7" w:rsidRDefault="000048EB" w:rsidP="0046059C">
      <w:pPr>
        <w:pStyle w:val="BodyText"/>
        <w:rPr>
          <w:b/>
          <w:bCs/>
        </w:rPr>
      </w:pPr>
      <w:r w:rsidRPr="000668D7">
        <w:rPr>
          <w:b/>
          <w:bCs/>
          <w:highlight w:val="yellow"/>
        </w:rPr>
        <w:t>Comparisons</w:t>
      </w:r>
    </w:p>
    <w:p w14:paraId="6E5C24FC" w14:textId="75B3C9C7" w:rsidR="0011017B" w:rsidRDefault="0011017B" w:rsidP="00AB48DF">
      <w:pPr>
        <w:pStyle w:val="Heading1"/>
        <w:jc w:val="both"/>
      </w:pPr>
      <w:bookmarkStart w:id="4" w:name="_Toc94269405"/>
      <w:r>
        <w:t>Results</w:t>
      </w:r>
      <w:bookmarkEnd w:id="4"/>
    </w:p>
    <w:p w14:paraId="674B14DA" w14:textId="55F5B045" w:rsidR="00CF439A" w:rsidRPr="00F62ACB" w:rsidRDefault="00CF439A" w:rsidP="00CF439A">
      <w:pPr>
        <w:pStyle w:val="BodyText"/>
        <w:jc w:val="both"/>
      </w:pPr>
      <w:r w:rsidRPr="00AA28EA">
        <w:t xml:space="preserve">As a first step in the analysis and interpretation of the generated data, the quality of the dataset is assessed based on PamGene’s QC criteria for signal strength, number of peptides and the replicate variation. The data quality can either be “good” (i.e., green flag, </w:t>
      </w:r>
      <w:r w:rsidRPr="00AA28EA">
        <w:rPr>
          <w:noProof/>
        </w:rPr>
        <w:drawing>
          <wp:inline distT="0" distB="0" distL="0" distR="0" wp14:anchorId="466BE056" wp14:editId="338A27B9">
            <wp:extent cx="95250" cy="95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99_images\green_10.png"/>
                    <pic:cNvPicPr>
                      <a:picLocks noChangeAspect="1" noChangeArrowheads="1"/>
                    </pic:cNvPicPr>
                  </pic:nvPicPr>
                  <pic:blipFill>
                    <a:blip r:embed="rId12"/>
                    <a:stretch>
                      <a:fillRect/>
                    </a:stretch>
                  </pic:blipFill>
                  <pic:spPr bwMode="auto">
                    <a:xfrm>
                      <a:off x="0" y="0"/>
                      <a:ext cx="95250" cy="95250"/>
                    </a:xfrm>
                    <a:prstGeom prst="rect">
                      <a:avLst/>
                    </a:prstGeom>
                    <a:noFill/>
                    <a:ln w="9525">
                      <a:noFill/>
                      <a:headEnd/>
                      <a:tailEnd/>
                    </a:ln>
                  </pic:spPr>
                </pic:pic>
              </a:graphicData>
            </a:graphic>
          </wp:inline>
        </w:drawing>
      </w:r>
      <w:r w:rsidRPr="00AA28EA">
        <w:t xml:space="preserve">) “fair” (i.e., orange flag, </w:t>
      </w:r>
      <w:r w:rsidRPr="00AA28EA">
        <w:rPr>
          <w:noProof/>
        </w:rPr>
        <w:drawing>
          <wp:inline distT="0" distB="0" distL="0" distR="0" wp14:anchorId="5622ADEF" wp14:editId="0B779FD7">
            <wp:extent cx="99060" cy="9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AA28EA">
        <w:t xml:space="preserve">) or “poor” (i.e., red flag, </w:t>
      </w:r>
      <w:r w:rsidRPr="00AA28EA">
        <w:rPr>
          <w:noProof/>
        </w:rPr>
        <w:drawing>
          <wp:inline distT="0" distB="0" distL="0" distR="0" wp14:anchorId="073BB1CF" wp14:editId="1820F63E">
            <wp:extent cx="99060" cy="99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AA28EA">
        <w:t>). The quality scores serve to assess the reliability of the data. Further details about the definition of QC flags and how they are applied to the data are provided in Supplement</w:t>
      </w:r>
      <w:r w:rsidR="00F62ACB">
        <w:t xml:space="preserve"> section 2.2.</w:t>
      </w:r>
      <w:commentRangeStart w:id="5"/>
      <w:r w:rsidR="00F62ACB" w:rsidRPr="00F62ACB">
        <w:t>2</w:t>
      </w:r>
      <w:commentRangeEnd w:id="5"/>
      <w:r w:rsidR="00CF29B5">
        <w:rPr>
          <w:rStyle w:val="CommentReference"/>
        </w:rPr>
        <w:commentReference w:id="5"/>
      </w:r>
      <w:r w:rsidR="00AC56F2">
        <w:t>.</w:t>
      </w:r>
    </w:p>
    <w:p w14:paraId="58637B9A" w14:textId="4B1C9A0F" w:rsidR="0037620E" w:rsidRDefault="003F3136" w:rsidP="00AB48DF">
      <w:pPr>
        <w:pStyle w:val="BodyText"/>
        <w:jc w:val="both"/>
      </w:pPr>
      <w:r>
        <w:t>We performed statistical analysis on log2 transformed signal intensities from the phosposite level data (</w:t>
      </w:r>
      <w:r w:rsidR="004E28AA">
        <w:t>S</w:t>
      </w:r>
      <w:r>
        <w:t>ection 2.1)</w:t>
      </w:r>
      <w:r w:rsidR="004E28AA">
        <w:t>. Prior to differential analysis at the kinase level (Section 2.2), VSN normalization was applied</w:t>
      </w:r>
      <w:r w:rsidR="004E28AA">
        <w:fldChar w:fldCharType="begin"/>
      </w:r>
      <w:r w:rsidR="004E28AA">
        <w:instrText xml:space="preserve"> ADDIN ZOTERO_ITEM CSL_CITATION {"citationID":"vIrkbSio","properties":{"formattedCitation":"\\super 1\\nosupersub{}","plainCitation":"1","noteIndex":0},"citationItems":[{"id":580,"uris":["http://zotero.org/users/local/v7IF7bFL/items/BZ2ZFIUR"],"uri":["http://zotero.org/users/local/v7IF7bFL/items/BZ2ZFIUR"],"itemData":{"id":580,"type":"article-journal","abstract":"We introduce a statistical model for microarray gene expression data that comprises data calibration, the quantification of differential expression, and the quantification of measurement error.\nIn particular, we derive a transformation h for intensity measurements, and a difference statistic Δh whose variance is approximately constant along the whole intensity range.\nThis forms a basis for statistical inference from microarray data, and provides a rational data pre-processing strategy for multivariate analyses.\nFor the transformation h, the parametric form h(x)=arsinh(a+bx) is derived from a model of the variance-versus-mean dependence for\nmicroarray intensity data, using the method of variance stabilizing\ntransformations.\nFor large intensities, h coincides with the logarithmic transformation,\nand Δh with the log-ratio.\nThe parameters of h together with those of the calibration between experiments\nare estimated with a robust variant of maximum-likelihood estimation.\nWe demonstrate our approach on data sets from different experimental\nplatforms, including two-colour cDNA arrays and a series of\nAffymetrix oligonucleotide arrays.Availability: Software is freely available for academic use as an R package at http://www.dkfz.de/abt0840/whuberContact: w.huber@dkfz.de","container-title":"Bioinformatics","DOI":"10.1093/bioinformatics/18.suppl_1.S96","ISSN":"1367-4803","issue":"suppl_1","journalAbbreviation":"Bioinformatics","page":"S96-S104","source":"Silverchair","title":"Variance stabilization applied to microarray data calibration and to the quantification of differential expression","volume":"18","author":[{"family":"Huber","given":"Wolfgang"},{"family":"Heydebreck","given":"Anja","non-dropping-particle":"von"},{"family":"Sültmann","given":"Holger"},{"family":"Poustka","given":"Annemarie"},{"family":"Vingron","given":"Martin"}],"issued":{"date-parts":[["2002",7,1]]}}}],"schema":"https://github.com/citation-style-language/schema/raw/master/csl-citation.json"} </w:instrText>
      </w:r>
      <w:r w:rsidR="004E28AA">
        <w:fldChar w:fldCharType="separate"/>
      </w:r>
      <w:r w:rsidR="004E28AA" w:rsidRPr="004E28AA">
        <w:rPr>
          <w:rFonts w:cs="Arial"/>
          <w:vertAlign w:val="superscript"/>
        </w:rPr>
        <w:t>1</w:t>
      </w:r>
      <w:r w:rsidR="004E28AA">
        <w:fldChar w:fldCharType="end"/>
      </w:r>
      <w:r w:rsidR="004E28AA">
        <w:t>.</w:t>
      </w:r>
      <w:r w:rsidR="00CF439A">
        <w:t xml:space="preserve"> One outlier was </w:t>
      </w:r>
      <w:r w:rsidR="00F62ACB">
        <w:t>identified</w:t>
      </w:r>
      <w:r w:rsidR="00CF439A">
        <w:t xml:space="preserve"> in the T1-96 condition and was removed prior to subsequent statistical analyses.</w:t>
      </w:r>
    </w:p>
    <w:p w14:paraId="5D95B034" w14:textId="6F1E56F9" w:rsidR="00B34626" w:rsidRDefault="0037620E" w:rsidP="00AB48DF">
      <w:pPr>
        <w:pStyle w:val="Heading2"/>
        <w:jc w:val="both"/>
      </w:pPr>
      <w:bookmarkStart w:id="6" w:name="_Toc94269406"/>
      <w:r>
        <w:t xml:space="preserve">Differential analysis at the </w:t>
      </w:r>
      <w:r w:rsidR="003F3136">
        <w:t>p</w:t>
      </w:r>
      <w:r>
        <w:t>hosphosite level</w:t>
      </w:r>
      <w:bookmarkEnd w:id="6"/>
    </w:p>
    <w:p w14:paraId="5295A4C3" w14:textId="0413AA06" w:rsidR="00B34626" w:rsidRDefault="00CF439A" w:rsidP="00B34626">
      <w:pPr>
        <w:pStyle w:val="BodyText"/>
        <w:jc w:val="both"/>
        <w:rPr>
          <w:b/>
          <w:bCs/>
        </w:rPr>
      </w:pPr>
      <w:r w:rsidRPr="00AA28EA">
        <w:rPr>
          <w:szCs w:val="22"/>
        </w:rPr>
        <w:t xml:space="preserve">As a next step, the phosphosites are identified that are statistically significantly different between conditions. </w:t>
      </w:r>
      <w:r w:rsidRPr="00AA28EA">
        <w:t xml:space="preserve">We compare the differential phosphorylation of each phosphosite between 2 conditions using statistical tools (T-tests, ANOVA). The signal per phosphosite is the result of the net phosphorylation attributed to the activity of one or more kinases. This information is useful to place the upstream kinase analysis in context and helps get confidence in the data by showing the overall trend and direction of the effect of the treatment/ condition, as well as the effect size. </w:t>
      </w:r>
      <w:r>
        <w:t>See also</w:t>
      </w:r>
      <w:r w:rsidR="00AC56F2">
        <w:t xml:space="preserve"> Supplement section 2.3. </w:t>
      </w:r>
      <w:r w:rsidRPr="00AA28EA">
        <w:rPr>
          <w:szCs w:val="22"/>
        </w:rPr>
        <w:t xml:space="preserve">The </w:t>
      </w:r>
      <w:r>
        <w:rPr>
          <w:szCs w:val="22"/>
        </w:rPr>
        <w:t>t</w:t>
      </w:r>
      <w:r w:rsidRPr="00AA28EA">
        <w:rPr>
          <w:szCs w:val="22"/>
        </w:rPr>
        <w:t xml:space="preserve">able below shows the statistical analysis for each comparison. </w:t>
      </w:r>
    </w:p>
    <w:tbl>
      <w:tblPr>
        <w:tblStyle w:val="TableGrid"/>
        <w:tblW w:w="4950" w:type="pct"/>
        <w:tblLook w:val="04A0" w:firstRow="1" w:lastRow="0" w:firstColumn="1" w:lastColumn="0" w:noHBand="0" w:noVBand="1"/>
      </w:tblPr>
      <w:tblGrid>
        <w:gridCol w:w="4248"/>
        <w:gridCol w:w="2410"/>
        <w:gridCol w:w="2269"/>
      </w:tblGrid>
      <w:tr w:rsidR="00B34626" w:rsidRPr="00F1255C" w14:paraId="6975E74C" w14:textId="77777777" w:rsidTr="006F742F">
        <w:trPr>
          <w:trHeight w:val="613"/>
        </w:trPr>
        <w:tc>
          <w:tcPr>
            <w:tcW w:w="5000" w:type="pct"/>
            <w:gridSpan w:val="3"/>
            <w:shd w:val="clear" w:color="auto" w:fill="D9D9D9" w:themeFill="background1" w:themeFillShade="D9"/>
            <w:vAlign w:val="center"/>
          </w:tcPr>
          <w:p w14:paraId="51DEBFEE" w14:textId="629F7EA0" w:rsidR="00B34626" w:rsidRPr="006F742F" w:rsidRDefault="00B34626" w:rsidP="00A41F8E">
            <w:pPr>
              <w:pStyle w:val="BodyText"/>
              <w:jc w:val="center"/>
              <w:rPr>
                <w:b/>
                <w:bCs/>
                <w:sz w:val="24"/>
                <w:szCs w:val="24"/>
              </w:rPr>
            </w:pPr>
            <w:r w:rsidRPr="006F742F">
              <w:rPr>
                <w:b/>
                <w:bCs/>
                <w:sz w:val="24"/>
                <w:szCs w:val="24"/>
              </w:rPr>
              <w:t>P</w:t>
            </w:r>
            <w:r w:rsidR="0006308A" w:rsidRPr="006F742F">
              <w:rPr>
                <w:b/>
                <w:bCs/>
                <w:sz w:val="24"/>
                <w:szCs w:val="24"/>
              </w:rPr>
              <w:t>ho</w:t>
            </w:r>
            <w:r w:rsidR="008D094F">
              <w:rPr>
                <w:b/>
                <w:bCs/>
                <w:sz w:val="24"/>
                <w:szCs w:val="24"/>
              </w:rPr>
              <w:t>s</w:t>
            </w:r>
            <w:r w:rsidR="0006308A" w:rsidRPr="006F742F">
              <w:rPr>
                <w:b/>
                <w:bCs/>
                <w:sz w:val="24"/>
                <w:szCs w:val="24"/>
              </w:rPr>
              <w:t>phosite level</w:t>
            </w:r>
            <w:r w:rsidRPr="006F742F">
              <w:rPr>
                <w:b/>
                <w:bCs/>
                <w:sz w:val="24"/>
                <w:szCs w:val="24"/>
              </w:rPr>
              <w:t xml:space="preserve"> data</w:t>
            </w:r>
            <w:r w:rsidR="0006308A" w:rsidRPr="006F742F">
              <w:rPr>
                <w:b/>
                <w:bCs/>
                <w:sz w:val="24"/>
                <w:szCs w:val="24"/>
                <w:vertAlign w:val="superscript"/>
              </w:rPr>
              <w:t>1</w:t>
            </w:r>
          </w:p>
        </w:tc>
      </w:tr>
      <w:tr w:rsidR="006F742F" w:rsidRPr="00C3236F" w14:paraId="37F598D4" w14:textId="77777777" w:rsidTr="006F742F">
        <w:trPr>
          <w:trHeight w:val="560"/>
        </w:trPr>
        <w:tc>
          <w:tcPr>
            <w:tcW w:w="2379" w:type="pct"/>
            <w:shd w:val="clear" w:color="auto" w:fill="D9D9D9" w:themeFill="background1" w:themeFillShade="D9"/>
            <w:hideMark/>
          </w:tcPr>
          <w:p w14:paraId="06A0E790" w14:textId="77777777" w:rsidR="00C3236F" w:rsidRPr="006F742F" w:rsidRDefault="00C3236F" w:rsidP="006F742F">
            <w:pPr>
              <w:jc w:val="right"/>
              <w:rPr>
                <w:rFonts w:cs="Arial"/>
                <w:b/>
                <w:bCs/>
                <w:color w:val="000000"/>
                <w:sz w:val="24"/>
                <w:szCs w:val="24"/>
                <w:lang w:eastAsia="en-GB"/>
              </w:rPr>
            </w:pPr>
            <w:r w:rsidRPr="00C3236F">
              <w:rPr>
                <w:rFonts w:cs="Arial"/>
                <w:b/>
                <w:bCs/>
                <w:color w:val="000000"/>
                <w:sz w:val="24"/>
                <w:szCs w:val="24"/>
                <w:lang w:eastAsia="en-GB"/>
              </w:rPr>
              <w:t>Assay Type</w:t>
            </w:r>
          </w:p>
          <w:p w14:paraId="5E6DA2B9" w14:textId="77777777" w:rsidR="006F742F" w:rsidRDefault="006F742F" w:rsidP="006F742F">
            <w:pPr>
              <w:rPr>
                <w:rFonts w:cs="Arial"/>
                <w:b/>
                <w:bCs/>
                <w:color w:val="000000"/>
                <w:sz w:val="24"/>
                <w:szCs w:val="24"/>
                <w:lang w:val="en-GB" w:eastAsia="en-GB"/>
              </w:rPr>
            </w:pPr>
            <w:r w:rsidRPr="006F742F">
              <w:rPr>
                <w:rFonts w:cs="Arial"/>
                <w:b/>
                <w:bCs/>
                <w:color w:val="000000"/>
                <w:sz w:val="24"/>
                <w:szCs w:val="24"/>
                <w:lang w:val="en-GB" w:eastAsia="en-GB"/>
              </w:rPr>
              <w:t>Comparisons</w:t>
            </w:r>
          </w:p>
          <w:p w14:paraId="70757799" w14:textId="2642741F" w:rsidR="006F742F" w:rsidRPr="00C3236F" w:rsidRDefault="006F742F" w:rsidP="006F742F">
            <w:pPr>
              <w:rPr>
                <w:rFonts w:cs="Arial"/>
                <w:b/>
                <w:bCs/>
                <w:color w:val="000000"/>
                <w:sz w:val="24"/>
                <w:szCs w:val="24"/>
                <w:lang w:val="en-GB" w:eastAsia="en-GB"/>
              </w:rPr>
            </w:pPr>
          </w:p>
        </w:tc>
        <w:tc>
          <w:tcPr>
            <w:tcW w:w="1350" w:type="pct"/>
            <w:shd w:val="clear" w:color="auto" w:fill="D9D9D9" w:themeFill="background1" w:themeFillShade="D9"/>
            <w:hideMark/>
          </w:tcPr>
          <w:p w14:paraId="657A09C3" w14:textId="77777777" w:rsidR="00C3236F" w:rsidRPr="00C3236F" w:rsidRDefault="00C3236F" w:rsidP="00C3236F">
            <w:pPr>
              <w:jc w:val="both"/>
              <w:rPr>
                <w:rFonts w:cs="Arial"/>
                <w:b/>
                <w:bCs/>
                <w:color w:val="000000"/>
                <w:sz w:val="24"/>
                <w:szCs w:val="24"/>
                <w:lang w:val="en-GB" w:eastAsia="en-GB"/>
              </w:rPr>
            </w:pPr>
            <w:r w:rsidRPr="00C3236F">
              <w:rPr>
                <w:rFonts w:cs="Arial"/>
                <w:b/>
                <w:bCs/>
                <w:color w:val="000000"/>
                <w:sz w:val="24"/>
                <w:szCs w:val="24"/>
                <w:lang w:eastAsia="en-GB"/>
              </w:rPr>
              <w:t>PTK</w:t>
            </w:r>
          </w:p>
        </w:tc>
        <w:tc>
          <w:tcPr>
            <w:tcW w:w="1271" w:type="pct"/>
            <w:shd w:val="clear" w:color="auto" w:fill="D9D9D9" w:themeFill="background1" w:themeFillShade="D9"/>
            <w:hideMark/>
          </w:tcPr>
          <w:p w14:paraId="15D56E4F" w14:textId="77777777" w:rsidR="00C3236F" w:rsidRPr="00C3236F" w:rsidRDefault="00C3236F" w:rsidP="00C3236F">
            <w:pPr>
              <w:jc w:val="both"/>
              <w:rPr>
                <w:rFonts w:cs="Arial"/>
                <w:b/>
                <w:bCs/>
                <w:color w:val="000000"/>
                <w:sz w:val="24"/>
                <w:szCs w:val="24"/>
                <w:lang w:val="en-GB" w:eastAsia="en-GB"/>
              </w:rPr>
            </w:pPr>
            <w:r w:rsidRPr="00C3236F">
              <w:rPr>
                <w:rFonts w:cs="Arial"/>
                <w:b/>
                <w:bCs/>
                <w:color w:val="000000"/>
                <w:sz w:val="24"/>
                <w:szCs w:val="24"/>
                <w:lang w:eastAsia="en-GB"/>
              </w:rPr>
              <w:t>STK</w:t>
            </w:r>
          </w:p>
        </w:tc>
      </w:tr>
      <w:tr w:rsidR="00C3236F" w:rsidRPr="00C3236F" w14:paraId="6F28D6D5" w14:textId="77777777" w:rsidTr="009B3396">
        <w:trPr>
          <w:trHeight w:val="261"/>
        </w:trPr>
        <w:tc>
          <w:tcPr>
            <w:tcW w:w="2379" w:type="pct"/>
            <w:hideMark/>
          </w:tcPr>
          <w:p w14:paraId="63F4C578" w14:textId="746B10DB" w:rsidR="00C3236F" w:rsidRPr="00C3236F" w:rsidRDefault="00197DD0" w:rsidP="006F742F">
            <w:pPr>
              <w:rPr>
                <w:rFonts w:cs="Arial"/>
                <w:b/>
                <w:bCs/>
                <w:color w:val="000000"/>
                <w:sz w:val="24"/>
                <w:szCs w:val="24"/>
                <w:lang w:val="en-GB" w:eastAsia="en-GB"/>
              </w:rPr>
            </w:pPr>
            <w:r>
              <w:rPr>
                <w:rFonts w:cs="Arial"/>
                <w:b/>
                <w:bCs/>
                <w:color w:val="000000"/>
                <w:sz w:val="24"/>
                <w:szCs w:val="24"/>
                <w:lang w:eastAsia="en-GB"/>
              </w:rPr>
              <w:t>T1-96 v Control-WT</w:t>
            </w:r>
          </w:p>
        </w:tc>
        <w:tc>
          <w:tcPr>
            <w:tcW w:w="1350" w:type="pct"/>
            <w:hideMark/>
          </w:tcPr>
          <w:p w14:paraId="40487F3C" w14:textId="64B51700" w:rsidR="00C3236F" w:rsidRPr="00C3236F" w:rsidRDefault="00811C9A" w:rsidP="00C3236F">
            <w:pPr>
              <w:jc w:val="center"/>
              <w:rPr>
                <w:rFonts w:cs="Arial"/>
                <w:color w:val="4F81BD"/>
                <w:sz w:val="24"/>
                <w:szCs w:val="24"/>
                <w:lang w:val="en-GB" w:eastAsia="en-GB"/>
              </w:rPr>
            </w:pPr>
            <w:r>
              <w:rPr>
                <w:rFonts w:cs="Arial"/>
                <w:color w:val="4F81BD"/>
                <w:sz w:val="24"/>
                <w:szCs w:val="24"/>
                <w:lang w:eastAsia="en-GB"/>
              </w:rPr>
              <w:t>11</w:t>
            </w:r>
            <w:r w:rsidR="00C3236F" w:rsidRPr="00C3236F">
              <w:rPr>
                <w:rFonts w:cs="Arial"/>
                <w:color w:val="000000"/>
                <w:sz w:val="24"/>
                <w:szCs w:val="24"/>
                <w:lang w:eastAsia="en-GB"/>
              </w:rPr>
              <w:t xml:space="preserve"> / </w:t>
            </w:r>
            <w:r w:rsidR="00C3236F" w:rsidRPr="00C3236F">
              <w:rPr>
                <w:rFonts w:cs="Arial"/>
                <w:color w:val="FF0000"/>
                <w:sz w:val="24"/>
                <w:szCs w:val="24"/>
                <w:lang w:eastAsia="en-GB"/>
              </w:rPr>
              <w:t>0</w:t>
            </w:r>
          </w:p>
        </w:tc>
        <w:tc>
          <w:tcPr>
            <w:tcW w:w="1271" w:type="pct"/>
            <w:hideMark/>
          </w:tcPr>
          <w:p w14:paraId="3845F731" w14:textId="344781E7" w:rsidR="00C3236F" w:rsidRPr="00C3236F" w:rsidRDefault="004E28AA" w:rsidP="00C3236F">
            <w:pPr>
              <w:jc w:val="center"/>
              <w:rPr>
                <w:rFonts w:cs="Arial"/>
                <w:color w:val="4F81BD"/>
                <w:sz w:val="24"/>
                <w:szCs w:val="24"/>
                <w:lang w:val="en-GB" w:eastAsia="en-GB"/>
              </w:rPr>
            </w:pPr>
            <w:r>
              <w:rPr>
                <w:rFonts w:cs="Arial"/>
                <w:color w:val="4F81BD"/>
                <w:sz w:val="24"/>
                <w:szCs w:val="24"/>
                <w:lang w:eastAsia="en-GB"/>
              </w:rPr>
              <w:t>1</w:t>
            </w:r>
            <w:r w:rsidR="00C3236F" w:rsidRPr="00C3236F">
              <w:rPr>
                <w:rFonts w:cs="Arial"/>
                <w:color w:val="000000"/>
                <w:sz w:val="24"/>
                <w:szCs w:val="24"/>
                <w:lang w:eastAsia="en-GB"/>
              </w:rPr>
              <w:t xml:space="preserve"> / </w:t>
            </w:r>
            <w:r>
              <w:rPr>
                <w:rFonts w:cs="Arial"/>
                <w:color w:val="FF0000"/>
                <w:sz w:val="24"/>
                <w:szCs w:val="24"/>
                <w:lang w:eastAsia="en-GB"/>
              </w:rPr>
              <w:t>25</w:t>
            </w:r>
          </w:p>
        </w:tc>
      </w:tr>
      <w:tr w:rsidR="00C3236F" w:rsidRPr="00C3236F" w14:paraId="03E5161B" w14:textId="77777777" w:rsidTr="009B3396">
        <w:trPr>
          <w:trHeight w:val="251"/>
        </w:trPr>
        <w:tc>
          <w:tcPr>
            <w:tcW w:w="2379" w:type="pct"/>
            <w:hideMark/>
          </w:tcPr>
          <w:p w14:paraId="0CC6A6E3" w14:textId="22CED917" w:rsidR="00C3236F" w:rsidRPr="00C3236F" w:rsidRDefault="00197DD0" w:rsidP="006F742F">
            <w:pPr>
              <w:rPr>
                <w:rFonts w:cs="Arial"/>
                <w:b/>
                <w:bCs/>
                <w:color w:val="000000"/>
                <w:sz w:val="24"/>
                <w:szCs w:val="24"/>
                <w:lang w:val="en-GB" w:eastAsia="en-GB"/>
              </w:rPr>
            </w:pPr>
            <w:r w:rsidRPr="00C3236F">
              <w:rPr>
                <w:rFonts w:cs="Arial"/>
                <w:b/>
                <w:bCs/>
                <w:color w:val="000000"/>
                <w:sz w:val="24"/>
                <w:szCs w:val="24"/>
                <w:lang w:eastAsia="en-GB"/>
              </w:rPr>
              <w:lastRenderedPageBreak/>
              <w:t>T2-</w:t>
            </w:r>
            <w:r>
              <w:rPr>
                <w:rFonts w:cs="Arial"/>
                <w:b/>
                <w:bCs/>
                <w:color w:val="000000"/>
                <w:sz w:val="24"/>
                <w:szCs w:val="24"/>
                <w:lang w:eastAsia="en-GB"/>
              </w:rPr>
              <w:t xml:space="preserve">97 v </w:t>
            </w:r>
            <w:r w:rsidR="00C3236F" w:rsidRPr="00C3236F">
              <w:rPr>
                <w:rFonts w:cs="Arial"/>
                <w:b/>
                <w:bCs/>
                <w:color w:val="000000"/>
                <w:sz w:val="24"/>
                <w:szCs w:val="24"/>
                <w:lang w:eastAsia="en-GB"/>
              </w:rPr>
              <w:t>Control</w:t>
            </w:r>
            <w:r w:rsidR="003F3136">
              <w:rPr>
                <w:rFonts w:cs="Arial"/>
                <w:b/>
                <w:bCs/>
                <w:color w:val="000000"/>
                <w:sz w:val="24"/>
                <w:szCs w:val="24"/>
                <w:lang w:eastAsia="en-GB"/>
              </w:rPr>
              <w:t>-WT</w:t>
            </w:r>
            <w:r w:rsidR="00C3236F" w:rsidRPr="00C3236F">
              <w:rPr>
                <w:rFonts w:cs="Arial"/>
                <w:b/>
                <w:bCs/>
                <w:color w:val="000000"/>
                <w:sz w:val="24"/>
                <w:szCs w:val="24"/>
                <w:lang w:eastAsia="en-GB"/>
              </w:rPr>
              <w:t xml:space="preserve"> </w:t>
            </w:r>
          </w:p>
        </w:tc>
        <w:tc>
          <w:tcPr>
            <w:tcW w:w="1350" w:type="pct"/>
            <w:hideMark/>
          </w:tcPr>
          <w:p w14:paraId="3BFD0F88" w14:textId="51DBD6E9" w:rsidR="00C3236F" w:rsidRPr="00C3236F" w:rsidRDefault="002B4CB8" w:rsidP="00C3236F">
            <w:pPr>
              <w:jc w:val="center"/>
              <w:rPr>
                <w:rFonts w:cs="Arial"/>
                <w:color w:val="4F81BD"/>
                <w:sz w:val="24"/>
                <w:szCs w:val="24"/>
                <w:lang w:val="en-GB" w:eastAsia="en-GB"/>
              </w:rPr>
            </w:pPr>
            <w:r>
              <w:rPr>
                <w:rFonts w:cs="Arial"/>
                <w:color w:val="4F81BD"/>
                <w:sz w:val="24"/>
                <w:szCs w:val="24"/>
                <w:lang w:eastAsia="en-GB"/>
              </w:rPr>
              <w:t>1</w:t>
            </w:r>
            <w:r w:rsidRPr="00C3236F">
              <w:rPr>
                <w:rFonts w:cs="Arial"/>
                <w:color w:val="000000"/>
                <w:sz w:val="24"/>
                <w:szCs w:val="24"/>
                <w:lang w:eastAsia="en-GB"/>
              </w:rPr>
              <w:t xml:space="preserve"> / </w:t>
            </w:r>
            <w:r>
              <w:rPr>
                <w:rFonts w:cs="Arial"/>
                <w:color w:val="FF0000"/>
                <w:sz w:val="24"/>
                <w:szCs w:val="24"/>
                <w:lang w:eastAsia="en-GB"/>
              </w:rPr>
              <w:t>1</w:t>
            </w:r>
          </w:p>
        </w:tc>
        <w:tc>
          <w:tcPr>
            <w:tcW w:w="1271" w:type="pct"/>
            <w:hideMark/>
          </w:tcPr>
          <w:p w14:paraId="7649AFAA" w14:textId="13193EEF" w:rsidR="00C3236F" w:rsidRPr="00C3236F" w:rsidRDefault="004E28AA" w:rsidP="00C3236F">
            <w:pPr>
              <w:jc w:val="center"/>
              <w:rPr>
                <w:rFonts w:cs="Arial"/>
                <w:color w:val="4F81BD"/>
                <w:sz w:val="24"/>
                <w:szCs w:val="24"/>
                <w:lang w:val="en-GB" w:eastAsia="en-GB"/>
              </w:rPr>
            </w:pPr>
            <w:r>
              <w:rPr>
                <w:rFonts w:cs="Arial"/>
                <w:color w:val="4F81BD"/>
                <w:sz w:val="24"/>
                <w:szCs w:val="24"/>
                <w:lang w:eastAsia="en-GB"/>
              </w:rPr>
              <w:t>0</w:t>
            </w:r>
            <w:r w:rsidR="00C3236F" w:rsidRPr="00C3236F">
              <w:rPr>
                <w:rFonts w:cs="Arial"/>
                <w:color w:val="000000"/>
                <w:sz w:val="24"/>
                <w:szCs w:val="24"/>
                <w:lang w:eastAsia="en-GB"/>
              </w:rPr>
              <w:t xml:space="preserve"> / </w:t>
            </w:r>
            <w:r>
              <w:rPr>
                <w:rFonts w:cs="Arial"/>
                <w:color w:val="FF0000"/>
                <w:sz w:val="24"/>
                <w:szCs w:val="24"/>
                <w:lang w:eastAsia="en-GB"/>
              </w:rPr>
              <w:t>80</w:t>
            </w:r>
          </w:p>
        </w:tc>
      </w:tr>
      <w:tr w:rsidR="002B4CB8" w:rsidRPr="00C3236F" w14:paraId="53F73FB8" w14:textId="77777777" w:rsidTr="009B3396">
        <w:trPr>
          <w:trHeight w:val="255"/>
        </w:trPr>
        <w:tc>
          <w:tcPr>
            <w:tcW w:w="2379" w:type="pct"/>
          </w:tcPr>
          <w:p w14:paraId="77C1F1A0" w14:textId="30FC2BDB" w:rsidR="002B4CB8" w:rsidRPr="00811C9A" w:rsidRDefault="002B4CB8" w:rsidP="006F742F">
            <w:pPr>
              <w:rPr>
                <w:rFonts w:cs="Arial"/>
                <w:b/>
                <w:bCs/>
                <w:color w:val="000000"/>
                <w:sz w:val="24"/>
                <w:lang w:eastAsia="en-GB"/>
              </w:rPr>
            </w:pPr>
            <w:r>
              <w:rPr>
                <w:rFonts w:cs="Arial"/>
                <w:b/>
                <w:bCs/>
                <w:color w:val="000000"/>
                <w:sz w:val="24"/>
                <w:lang w:eastAsia="en-GB"/>
              </w:rPr>
              <w:t>T</w:t>
            </w:r>
            <w:r w:rsidR="00197DD0">
              <w:rPr>
                <w:rFonts w:cs="Arial"/>
                <w:b/>
                <w:bCs/>
                <w:color w:val="000000"/>
                <w:sz w:val="24"/>
                <w:lang w:eastAsia="en-GB"/>
              </w:rPr>
              <w:t>1</w:t>
            </w:r>
            <w:r>
              <w:rPr>
                <w:rFonts w:cs="Arial"/>
                <w:b/>
                <w:bCs/>
                <w:color w:val="000000"/>
                <w:sz w:val="24"/>
                <w:lang w:eastAsia="en-GB"/>
              </w:rPr>
              <w:t>-9</w:t>
            </w:r>
            <w:r w:rsidR="00197DD0">
              <w:rPr>
                <w:rFonts w:cs="Arial"/>
                <w:b/>
                <w:bCs/>
                <w:color w:val="000000"/>
                <w:sz w:val="24"/>
                <w:lang w:eastAsia="en-GB"/>
              </w:rPr>
              <w:t>6</w:t>
            </w:r>
            <w:r>
              <w:rPr>
                <w:rFonts w:cs="Arial"/>
                <w:b/>
                <w:bCs/>
                <w:color w:val="000000"/>
                <w:sz w:val="24"/>
                <w:lang w:eastAsia="en-GB"/>
              </w:rPr>
              <w:t xml:space="preserve"> v T</w:t>
            </w:r>
            <w:r w:rsidR="00197DD0">
              <w:rPr>
                <w:rFonts w:cs="Arial"/>
                <w:b/>
                <w:bCs/>
                <w:color w:val="000000"/>
                <w:sz w:val="24"/>
                <w:lang w:eastAsia="en-GB"/>
              </w:rPr>
              <w:t>2-97</w:t>
            </w:r>
            <w:r w:rsidR="00811C9A">
              <w:rPr>
                <w:rFonts w:cs="Arial"/>
                <w:b/>
                <w:bCs/>
                <w:color w:val="000000"/>
                <w:sz w:val="24"/>
                <w:vertAlign w:val="superscript"/>
                <w:lang w:eastAsia="en-GB"/>
              </w:rPr>
              <w:t>2</w:t>
            </w:r>
          </w:p>
        </w:tc>
        <w:tc>
          <w:tcPr>
            <w:tcW w:w="1350" w:type="pct"/>
          </w:tcPr>
          <w:p w14:paraId="665F757E" w14:textId="7E2394FC" w:rsidR="002B4CB8" w:rsidRDefault="00197DD0" w:rsidP="00C3236F">
            <w:pPr>
              <w:jc w:val="center"/>
              <w:rPr>
                <w:rFonts w:cs="Arial"/>
                <w:color w:val="4F81BD"/>
                <w:sz w:val="24"/>
                <w:lang w:eastAsia="en-GB"/>
              </w:rPr>
            </w:pPr>
            <w:r>
              <w:rPr>
                <w:rFonts w:cs="Arial"/>
                <w:color w:val="4F81BD"/>
                <w:sz w:val="24"/>
                <w:szCs w:val="24"/>
                <w:lang w:eastAsia="en-GB"/>
              </w:rPr>
              <w:t>29</w:t>
            </w:r>
            <w:r w:rsidR="002B4CB8" w:rsidRPr="00C3236F">
              <w:rPr>
                <w:rFonts w:cs="Arial"/>
                <w:color w:val="000000"/>
                <w:sz w:val="24"/>
                <w:szCs w:val="24"/>
                <w:lang w:eastAsia="en-GB"/>
              </w:rPr>
              <w:t xml:space="preserve"> / </w:t>
            </w:r>
            <w:r w:rsidR="002B4CB8">
              <w:rPr>
                <w:rFonts w:cs="Arial"/>
                <w:color w:val="FF0000"/>
                <w:sz w:val="24"/>
                <w:szCs w:val="24"/>
                <w:lang w:eastAsia="en-GB"/>
              </w:rPr>
              <w:t>1</w:t>
            </w:r>
          </w:p>
        </w:tc>
        <w:tc>
          <w:tcPr>
            <w:tcW w:w="1271" w:type="pct"/>
          </w:tcPr>
          <w:p w14:paraId="772B520A" w14:textId="071C88D2" w:rsidR="002B4CB8" w:rsidRDefault="002B4CB8" w:rsidP="00C3236F">
            <w:pPr>
              <w:jc w:val="center"/>
              <w:rPr>
                <w:rFonts w:cs="Arial"/>
                <w:color w:val="4F81BD"/>
                <w:sz w:val="24"/>
                <w:lang w:eastAsia="en-GB"/>
              </w:rPr>
            </w:pPr>
            <w:r>
              <w:rPr>
                <w:rFonts w:cs="Arial"/>
                <w:color w:val="4F81BD"/>
                <w:sz w:val="24"/>
                <w:szCs w:val="24"/>
                <w:lang w:eastAsia="en-GB"/>
              </w:rPr>
              <w:t>71</w:t>
            </w:r>
            <w:r w:rsidRPr="00C3236F">
              <w:rPr>
                <w:rFonts w:cs="Arial"/>
                <w:color w:val="000000"/>
                <w:sz w:val="24"/>
                <w:szCs w:val="24"/>
                <w:lang w:eastAsia="en-GB"/>
              </w:rPr>
              <w:t xml:space="preserve"> / </w:t>
            </w:r>
            <w:r>
              <w:rPr>
                <w:rFonts w:cs="Arial"/>
                <w:color w:val="FF0000"/>
                <w:sz w:val="24"/>
                <w:szCs w:val="24"/>
                <w:lang w:eastAsia="en-GB"/>
              </w:rPr>
              <w:t>1</w:t>
            </w:r>
          </w:p>
        </w:tc>
      </w:tr>
    </w:tbl>
    <w:p w14:paraId="1D0D388F" w14:textId="2B490A81" w:rsidR="00B34626" w:rsidRDefault="00BF72B3" w:rsidP="00B34626">
      <w:pPr>
        <w:pStyle w:val="BodyText"/>
        <w:contextualSpacing/>
        <w:jc w:val="both"/>
        <w:rPr>
          <w:sz w:val="18"/>
          <w:szCs w:val="20"/>
        </w:rPr>
      </w:pPr>
      <w:r>
        <w:rPr>
          <w:sz w:val="18"/>
          <w:szCs w:val="20"/>
          <w:vertAlign w:val="superscript"/>
        </w:rPr>
        <w:t>1</w:t>
      </w:r>
      <w:r w:rsidR="00B34626">
        <w:rPr>
          <w:sz w:val="18"/>
          <w:szCs w:val="20"/>
        </w:rPr>
        <w:t>.</w:t>
      </w:r>
      <w:r w:rsidR="00B3352F" w:rsidRPr="00B3352F">
        <w:rPr>
          <w:sz w:val="18"/>
          <w:szCs w:val="20"/>
        </w:rPr>
        <w:t xml:space="preserve"> </w:t>
      </w:r>
      <w:r w:rsidR="00B3352F">
        <w:rPr>
          <w:sz w:val="18"/>
          <w:szCs w:val="20"/>
        </w:rPr>
        <w:t xml:space="preserve">Significance was obtained using a one-way ANOVA followed by a post-hoc Dunnett’s test, p&lt;0.05. </w:t>
      </w:r>
      <w:r w:rsidR="00811C9A" w:rsidRPr="00AA28EA">
        <w:rPr>
          <w:sz w:val="18"/>
          <w:szCs w:val="20"/>
        </w:rPr>
        <w:t>Blue indicates the number of phosphosites significantly less phosphorylated compared to control, while red indicates the number that are more phosphorylated.</w:t>
      </w:r>
    </w:p>
    <w:p w14:paraId="11B65771" w14:textId="7AFC0296" w:rsidR="00811C9A" w:rsidRDefault="00811C9A" w:rsidP="00B34626">
      <w:pPr>
        <w:pStyle w:val="BodyText"/>
        <w:contextualSpacing/>
        <w:jc w:val="both"/>
        <w:rPr>
          <w:sz w:val="18"/>
          <w:szCs w:val="20"/>
        </w:rPr>
      </w:pPr>
      <w:r w:rsidRPr="00811C9A">
        <w:rPr>
          <w:sz w:val="18"/>
          <w:szCs w:val="20"/>
          <w:vertAlign w:val="superscript"/>
        </w:rPr>
        <w:t>2</w:t>
      </w:r>
      <w:r>
        <w:rPr>
          <w:sz w:val="18"/>
          <w:szCs w:val="20"/>
        </w:rPr>
        <w:t xml:space="preserve"> </w:t>
      </w:r>
      <w:r w:rsidRPr="00811C9A">
        <w:rPr>
          <w:sz w:val="18"/>
          <w:szCs w:val="20"/>
        </w:rPr>
        <w:t>Significance</w:t>
      </w:r>
      <w:r w:rsidRPr="00AA28EA">
        <w:rPr>
          <w:sz w:val="18"/>
          <w:szCs w:val="20"/>
        </w:rPr>
        <w:t xml:space="preserve"> was obtained using a two-sided unpaired Student’s T-test, p&lt;0.05. </w:t>
      </w:r>
    </w:p>
    <w:p w14:paraId="27008BFC" w14:textId="3AAF8206" w:rsidR="009B3396" w:rsidRDefault="009B3396" w:rsidP="009B3396">
      <w:pPr>
        <w:pStyle w:val="BodyText"/>
        <w:jc w:val="both"/>
        <w:rPr>
          <w:color w:val="FF0000"/>
        </w:rPr>
      </w:pPr>
      <w:r>
        <w:t xml:space="preserve">For this study we sufficient changes in PTK phosphorylation to draw valid conclusions on the kinase level data. We observed a strong increase in STK phosphorylation, which could be a consequence of the addition of too much ATP in the reaction. </w:t>
      </w:r>
      <w:r w:rsidR="00F62ACB">
        <w:t>C</w:t>
      </w:r>
      <w:r>
        <w:t>aution must here be applied</w:t>
      </w:r>
      <w:r w:rsidR="00F62ACB">
        <w:t xml:space="preserve"> while interpreting the STK data</w:t>
      </w:r>
      <w:r>
        <w:t xml:space="preserve">. Corresponding volcano plots can be found in Supplement </w:t>
      </w:r>
      <w:r w:rsidR="00F62ACB">
        <w:t>s</w:t>
      </w:r>
      <w:r>
        <w:t xml:space="preserve">ection </w:t>
      </w:r>
      <w:r w:rsidR="00F62ACB">
        <w:t>2.3</w:t>
      </w:r>
      <w:r>
        <w:t>.</w:t>
      </w:r>
    </w:p>
    <w:p w14:paraId="69E3DE2D" w14:textId="65CCA8FB" w:rsidR="00AD1391" w:rsidRDefault="00AD1391" w:rsidP="00AD1391">
      <w:pPr>
        <w:pStyle w:val="Heading2"/>
      </w:pPr>
      <w:bookmarkStart w:id="7" w:name="_Toc94269407"/>
      <w:r>
        <w:t xml:space="preserve">Differential analysis at the </w:t>
      </w:r>
      <w:r w:rsidR="00866530">
        <w:t>k</w:t>
      </w:r>
      <w:r>
        <w:t>inase level</w:t>
      </w:r>
      <w:bookmarkEnd w:id="7"/>
    </w:p>
    <w:p w14:paraId="0E180669" w14:textId="36BFCED9" w:rsidR="008D094F" w:rsidRDefault="009B3396" w:rsidP="00F06709">
      <w:pPr>
        <w:pStyle w:val="BodyText"/>
        <w:jc w:val="both"/>
      </w:pPr>
      <w:r w:rsidRPr="00AA28EA">
        <w:t>Each kinase phosphorylates multiple phosphosites on the PamChip. To address which kinases are responsible for the phosphorylation differences between conditions, we perform an Upstream Kinase Analysis (UKA), explained in Supplement</w:t>
      </w:r>
      <w:r w:rsidR="00AC56F2">
        <w:t xml:space="preserve"> section 2.4.</w:t>
      </w:r>
      <w:r w:rsidRPr="00AA28EA">
        <w:t xml:space="preserve"> UKA uses sets of phosphosites, rather than singular ones, which are linked to each kinase to predict differential kinase activity. The main results from UKA are shown in the plot below. </w:t>
      </w:r>
      <w:r w:rsidR="00BD3DDD">
        <w:t xml:space="preserve">The kinome tree overview, as well as numerical data and score plots can be found in Supplement </w:t>
      </w:r>
      <w:r w:rsidR="00F62ACB">
        <w:t>s</w:t>
      </w:r>
      <w:r w:rsidR="00BD3DDD">
        <w:t xml:space="preserve">ection </w:t>
      </w:r>
      <w:r w:rsidR="00F62ACB">
        <w:t>2.</w:t>
      </w:r>
      <w:commentRangeStart w:id="8"/>
      <w:r w:rsidR="00F62ACB">
        <w:t>4</w:t>
      </w:r>
      <w:commentRangeEnd w:id="8"/>
      <w:r w:rsidR="0043105D">
        <w:rPr>
          <w:rStyle w:val="CommentReference"/>
        </w:rPr>
        <w:commentReference w:id="8"/>
      </w:r>
      <w:r w:rsidR="00BD3DDD">
        <w:t>.</w:t>
      </w:r>
    </w:p>
    <w:tbl>
      <w:tblPr>
        <w:tblStyle w:val="TableGrid"/>
        <w:tblW w:w="4950" w:type="pct"/>
        <w:tblLook w:val="04A0" w:firstRow="1" w:lastRow="0" w:firstColumn="1" w:lastColumn="0" w:noHBand="0" w:noVBand="1"/>
      </w:tblPr>
      <w:tblGrid>
        <w:gridCol w:w="4248"/>
        <w:gridCol w:w="2410"/>
        <w:gridCol w:w="2269"/>
      </w:tblGrid>
      <w:tr w:rsidR="008D094F" w:rsidRPr="006F742F" w14:paraId="55740E3B" w14:textId="77777777" w:rsidTr="00E46C89">
        <w:trPr>
          <w:trHeight w:val="613"/>
        </w:trPr>
        <w:tc>
          <w:tcPr>
            <w:tcW w:w="5000" w:type="pct"/>
            <w:gridSpan w:val="3"/>
            <w:shd w:val="clear" w:color="auto" w:fill="D9D9D9" w:themeFill="background1" w:themeFillShade="D9"/>
            <w:vAlign w:val="center"/>
          </w:tcPr>
          <w:p w14:paraId="36B1937E" w14:textId="751D6767" w:rsidR="008D094F" w:rsidRPr="006F742F" w:rsidRDefault="008D094F" w:rsidP="00E46C89">
            <w:pPr>
              <w:pStyle w:val="BodyText"/>
              <w:jc w:val="center"/>
              <w:rPr>
                <w:b/>
                <w:bCs/>
                <w:sz w:val="24"/>
                <w:szCs w:val="24"/>
              </w:rPr>
            </w:pPr>
            <w:r>
              <w:rPr>
                <w:b/>
                <w:bCs/>
                <w:sz w:val="24"/>
                <w:szCs w:val="24"/>
              </w:rPr>
              <w:t>Kinase</w:t>
            </w:r>
            <w:r w:rsidRPr="006F742F">
              <w:rPr>
                <w:b/>
                <w:bCs/>
                <w:sz w:val="24"/>
                <w:szCs w:val="24"/>
              </w:rPr>
              <w:t xml:space="preserve"> level data</w:t>
            </w:r>
            <w:r w:rsidR="00811C9A">
              <w:rPr>
                <w:b/>
                <w:bCs/>
                <w:sz w:val="24"/>
                <w:szCs w:val="24"/>
                <w:vertAlign w:val="superscript"/>
              </w:rPr>
              <w:t>3</w:t>
            </w:r>
          </w:p>
        </w:tc>
      </w:tr>
      <w:tr w:rsidR="008D094F" w:rsidRPr="00C3236F" w14:paraId="31CECFB7" w14:textId="77777777" w:rsidTr="00E46C89">
        <w:trPr>
          <w:trHeight w:val="560"/>
        </w:trPr>
        <w:tc>
          <w:tcPr>
            <w:tcW w:w="2379" w:type="pct"/>
            <w:shd w:val="clear" w:color="auto" w:fill="D9D9D9" w:themeFill="background1" w:themeFillShade="D9"/>
            <w:hideMark/>
          </w:tcPr>
          <w:p w14:paraId="6052D5E2" w14:textId="77777777" w:rsidR="008D094F" w:rsidRPr="006F742F" w:rsidRDefault="008D094F" w:rsidP="00E46C89">
            <w:pPr>
              <w:jc w:val="right"/>
              <w:rPr>
                <w:rFonts w:cs="Arial"/>
                <w:b/>
                <w:bCs/>
                <w:color w:val="000000"/>
                <w:sz w:val="24"/>
                <w:szCs w:val="24"/>
                <w:lang w:eastAsia="en-GB"/>
              </w:rPr>
            </w:pPr>
            <w:r w:rsidRPr="00C3236F">
              <w:rPr>
                <w:rFonts w:cs="Arial"/>
                <w:b/>
                <w:bCs/>
                <w:color w:val="000000"/>
                <w:sz w:val="24"/>
                <w:szCs w:val="24"/>
                <w:lang w:eastAsia="en-GB"/>
              </w:rPr>
              <w:t>Assay Type</w:t>
            </w:r>
          </w:p>
          <w:p w14:paraId="64E420E2" w14:textId="77777777" w:rsidR="008D094F" w:rsidRDefault="008D094F" w:rsidP="00E46C89">
            <w:pPr>
              <w:rPr>
                <w:rFonts w:cs="Arial"/>
                <w:b/>
                <w:bCs/>
                <w:color w:val="000000"/>
                <w:sz w:val="24"/>
                <w:szCs w:val="24"/>
                <w:lang w:val="en-GB" w:eastAsia="en-GB"/>
              </w:rPr>
            </w:pPr>
            <w:r w:rsidRPr="006F742F">
              <w:rPr>
                <w:rFonts w:cs="Arial"/>
                <w:b/>
                <w:bCs/>
                <w:color w:val="000000"/>
                <w:sz w:val="24"/>
                <w:szCs w:val="24"/>
                <w:lang w:val="en-GB" w:eastAsia="en-GB"/>
              </w:rPr>
              <w:t>Comparisons</w:t>
            </w:r>
          </w:p>
          <w:p w14:paraId="1ECE5984" w14:textId="77777777" w:rsidR="008D094F" w:rsidRPr="00C3236F" w:rsidRDefault="008D094F" w:rsidP="00E46C89">
            <w:pPr>
              <w:rPr>
                <w:rFonts w:cs="Arial"/>
                <w:b/>
                <w:bCs/>
                <w:color w:val="000000"/>
                <w:sz w:val="24"/>
                <w:szCs w:val="24"/>
                <w:lang w:val="en-GB" w:eastAsia="en-GB"/>
              </w:rPr>
            </w:pPr>
          </w:p>
        </w:tc>
        <w:tc>
          <w:tcPr>
            <w:tcW w:w="1350" w:type="pct"/>
            <w:shd w:val="clear" w:color="auto" w:fill="D9D9D9" w:themeFill="background1" w:themeFillShade="D9"/>
            <w:hideMark/>
          </w:tcPr>
          <w:p w14:paraId="6D4CE781" w14:textId="77777777" w:rsidR="008D094F" w:rsidRPr="00C3236F" w:rsidRDefault="008D094F" w:rsidP="00E46C89">
            <w:pPr>
              <w:jc w:val="both"/>
              <w:rPr>
                <w:rFonts w:cs="Arial"/>
                <w:b/>
                <w:bCs/>
                <w:color w:val="000000"/>
                <w:sz w:val="24"/>
                <w:szCs w:val="24"/>
                <w:lang w:val="en-GB" w:eastAsia="en-GB"/>
              </w:rPr>
            </w:pPr>
            <w:r w:rsidRPr="00C3236F">
              <w:rPr>
                <w:rFonts w:cs="Arial"/>
                <w:b/>
                <w:bCs/>
                <w:color w:val="000000"/>
                <w:sz w:val="24"/>
                <w:szCs w:val="24"/>
                <w:lang w:eastAsia="en-GB"/>
              </w:rPr>
              <w:t>PTK</w:t>
            </w:r>
          </w:p>
        </w:tc>
        <w:tc>
          <w:tcPr>
            <w:tcW w:w="1271" w:type="pct"/>
            <w:shd w:val="clear" w:color="auto" w:fill="D9D9D9" w:themeFill="background1" w:themeFillShade="D9"/>
            <w:hideMark/>
          </w:tcPr>
          <w:p w14:paraId="3A5A35CD" w14:textId="77777777" w:rsidR="008D094F" w:rsidRPr="00C3236F" w:rsidRDefault="008D094F" w:rsidP="00E46C89">
            <w:pPr>
              <w:jc w:val="both"/>
              <w:rPr>
                <w:rFonts w:cs="Arial"/>
                <w:b/>
                <w:bCs/>
                <w:color w:val="000000"/>
                <w:sz w:val="24"/>
                <w:szCs w:val="24"/>
                <w:lang w:val="en-GB" w:eastAsia="en-GB"/>
              </w:rPr>
            </w:pPr>
            <w:r w:rsidRPr="00C3236F">
              <w:rPr>
                <w:rFonts w:cs="Arial"/>
                <w:b/>
                <w:bCs/>
                <w:color w:val="000000"/>
                <w:sz w:val="24"/>
                <w:szCs w:val="24"/>
                <w:lang w:eastAsia="en-GB"/>
              </w:rPr>
              <w:t>STK</w:t>
            </w:r>
          </w:p>
        </w:tc>
      </w:tr>
      <w:tr w:rsidR="00197DD0" w:rsidRPr="00C3236F" w14:paraId="550BA14C" w14:textId="77777777" w:rsidTr="00E46C89">
        <w:trPr>
          <w:trHeight w:val="732"/>
        </w:trPr>
        <w:tc>
          <w:tcPr>
            <w:tcW w:w="2379" w:type="pct"/>
            <w:hideMark/>
          </w:tcPr>
          <w:p w14:paraId="66037BF1" w14:textId="60B6A2F2" w:rsidR="00197DD0" w:rsidRPr="00C3236F" w:rsidRDefault="00197DD0" w:rsidP="00197DD0">
            <w:pPr>
              <w:rPr>
                <w:rFonts w:cs="Arial"/>
                <w:b/>
                <w:bCs/>
                <w:color w:val="000000"/>
                <w:sz w:val="24"/>
                <w:szCs w:val="24"/>
                <w:lang w:val="en-GB" w:eastAsia="en-GB"/>
              </w:rPr>
            </w:pPr>
            <w:r>
              <w:rPr>
                <w:rFonts w:cs="Arial"/>
                <w:b/>
                <w:bCs/>
                <w:color w:val="000000"/>
                <w:sz w:val="24"/>
                <w:szCs w:val="24"/>
                <w:lang w:eastAsia="en-GB"/>
              </w:rPr>
              <w:t>T1-96 v Control-WT</w:t>
            </w:r>
          </w:p>
        </w:tc>
        <w:tc>
          <w:tcPr>
            <w:tcW w:w="1350" w:type="pct"/>
            <w:hideMark/>
          </w:tcPr>
          <w:p w14:paraId="222148E1" w14:textId="33A89154" w:rsidR="00197DD0" w:rsidRDefault="00197DD0" w:rsidP="00197DD0">
            <w:pPr>
              <w:jc w:val="center"/>
              <w:rPr>
                <w:rFonts w:cs="Arial"/>
                <w:color w:val="FF0000"/>
                <w:sz w:val="24"/>
                <w:szCs w:val="24"/>
                <w:lang w:eastAsia="en-GB"/>
              </w:rPr>
            </w:pPr>
            <w:r>
              <w:rPr>
                <w:rFonts w:cs="Arial"/>
                <w:color w:val="4F81BD"/>
                <w:sz w:val="24"/>
                <w:szCs w:val="24"/>
                <w:lang w:eastAsia="en-GB"/>
              </w:rPr>
              <w:t xml:space="preserve">Lyn, InSR, </w:t>
            </w:r>
            <w:r w:rsidR="009B7E81">
              <w:rPr>
                <w:rFonts w:cs="Arial"/>
                <w:color w:val="4F81BD"/>
                <w:sz w:val="24"/>
                <w:szCs w:val="24"/>
                <w:lang w:eastAsia="en-GB"/>
              </w:rPr>
              <w:t>LTK</w:t>
            </w:r>
            <w:r>
              <w:rPr>
                <w:rFonts w:cs="Arial"/>
                <w:color w:val="4F81BD"/>
                <w:sz w:val="24"/>
                <w:szCs w:val="24"/>
                <w:lang w:eastAsia="en-GB"/>
              </w:rPr>
              <w:t xml:space="preserve">, </w:t>
            </w:r>
            <w:r w:rsidR="009B7E81">
              <w:rPr>
                <w:rFonts w:cs="Arial"/>
                <w:color w:val="4F81BD"/>
                <w:sz w:val="24"/>
                <w:szCs w:val="24"/>
                <w:lang w:eastAsia="en-GB"/>
              </w:rPr>
              <w:t>Arg</w:t>
            </w:r>
            <w:r>
              <w:rPr>
                <w:rFonts w:cs="Arial"/>
                <w:color w:val="4F81BD"/>
                <w:sz w:val="24"/>
                <w:szCs w:val="24"/>
                <w:lang w:eastAsia="en-GB"/>
              </w:rPr>
              <w:t xml:space="preserve">, </w:t>
            </w:r>
            <w:r w:rsidR="009B7E81">
              <w:rPr>
                <w:rFonts w:cs="Arial"/>
                <w:color w:val="4F81BD"/>
                <w:sz w:val="24"/>
                <w:szCs w:val="24"/>
                <w:lang w:eastAsia="en-GB"/>
              </w:rPr>
              <w:t>IGF1R</w:t>
            </w:r>
            <w:r>
              <w:rPr>
                <w:rFonts w:cs="Arial"/>
                <w:color w:val="4F81BD"/>
                <w:sz w:val="24"/>
                <w:szCs w:val="24"/>
                <w:lang w:eastAsia="en-GB"/>
              </w:rPr>
              <w:t xml:space="preserve"> </w:t>
            </w:r>
            <w:r w:rsidRPr="00C3236F">
              <w:rPr>
                <w:rFonts w:cs="Arial"/>
                <w:color w:val="000000"/>
                <w:sz w:val="24"/>
                <w:szCs w:val="24"/>
                <w:lang w:eastAsia="en-GB"/>
              </w:rPr>
              <w:t xml:space="preserve">/ </w:t>
            </w:r>
            <w:r>
              <w:rPr>
                <w:rFonts w:cs="Arial"/>
                <w:color w:val="FF0000"/>
                <w:sz w:val="24"/>
                <w:szCs w:val="24"/>
                <w:lang w:eastAsia="en-GB"/>
              </w:rPr>
              <w:t xml:space="preserve">FmS/CSFR, CSK, </w:t>
            </w:r>
            <w:r w:rsidR="009B7E81">
              <w:rPr>
                <w:rFonts w:cs="Arial"/>
                <w:color w:val="FF0000"/>
                <w:sz w:val="24"/>
                <w:szCs w:val="24"/>
                <w:lang w:eastAsia="en-GB"/>
              </w:rPr>
              <w:t>FLT4</w:t>
            </w:r>
            <w:r>
              <w:rPr>
                <w:rFonts w:cs="Arial"/>
                <w:color w:val="FF0000"/>
                <w:sz w:val="24"/>
                <w:szCs w:val="24"/>
                <w:lang w:eastAsia="en-GB"/>
              </w:rPr>
              <w:t xml:space="preserve">, </w:t>
            </w:r>
            <w:r w:rsidR="009B7E81">
              <w:rPr>
                <w:rFonts w:cs="Arial"/>
                <w:color w:val="FF0000"/>
                <w:sz w:val="24"/>
                <w:szCs w:val="24"/>
                <w:lang w:eastAsia="en-GB"/>
              </w:rPr>
              <w:t>FLT1, TRKB</w:t>
            </w:r>
          </w:p>
          <w:p w14:paraId="2EB6ABF0" w14:textId="3E9CE5FB" w:rsidR="00197DD0" w:rsidRPr="00C3236F" w:rsidRDefault="00197DD0" w:rsidP="00197DD0">
            <w:pPr>
              <w:jc w:val="center"/>
              <w:rPr>
                <w:rFonts w:cs="Arial"/>
                <w:color w:val="4F81BD"/>
                <w:sz w:val="24"/>
                <w:szCs w:val="24"/>
                <w:lang w:val="en-GB" w:eastAsia="en-GB"/>
              </w:rPr>
            </w:pPr>
          </w:p>
        </w:tc>
        <w:tc>
          <w:tcPr>
            <w:tcW w:w="1271" w:type="pct"/>
            <w:hideMark/>
          </w:tcPr>
          <w:p w14:paraId="2E239EE0" w14:textId="42A0A0A9" w:rsidR="00197DD0" w:rsidRDefault="00197DD0" w:rsidP="00197DD0">
            <w:pPr>
              <w:jc w:val="center"/>
              <w:rPr>
                <w:rFonts w:cs="Arial"/>
                <w:color w:val="FF0000"/>
                <w:sz w:val="24"/>
                <w:szCs w:val="24"/>
                <w:lang w:eastAsia="en-GB"/>
              </w:rPr>
            </w:pPr>
            <w:r>
              <w:rPr>
                <w:rFonts w:cs="Arial"/>
                <w:color w:val="4F81BD"/>
                <w:sz w:val="24"/>
                <w:szCs w:val="24"/>
                <w:lang w:eastAsia="en-GB"/>
              </w:rPr>
              <w:t>ADCK3, CDK9, Pim1, CDK11, CDKL2</w:t>
            </w:r>
            <w:r w:rsidRPr="00C3236F">
              <w:rPr>
                <w:rFonts w:cs="Arial"/>
                <w:color w:val="000000"/>
                <w:sz w:val="24"/>
                <w:szCs w:val="24"/>
                <w:lang w:eastAsia="en-GB"/>
              </w:rPr>
              <w:t xml:space="preserve"> / </w:t>
            </w:r>
            <w:r>
              <w:rPr>
                <w:rFonts w:cs="Arial"/>
                <w:color w:val="FF0000"/>
                <w:sz w:val="24"/>
                <w:szCs w:val="24"/>
                <w:lang w:eastAsia="en-GB"/>
              </w:rPr>
              <w:t>PKG2, PKAα, PKG1, p70S6Kβ, PRKX</w:t>
            </w:r>
          </w:p>
          <w:p w14:paraId="30EED26E" w14:textId="62E60A3D" w:rsidR="00197DD0" w:rsidRPr="00C3236F" w:rsidRDefault="00197DD0" w:rsidP="00197DD0">
            <w:pPr>
              <w:jc w:val="center"/>
              <w:rPr>
                <w:rFonts w:cs="Arial"/>
                <w:color w:val="4F81BD"/>
                <w:sz w:val="24"/>
                <w:szCs w:val="24"/>
                <w:lang w:val="en-GB" w:eastAsia="en-GB"/>
              </w:rPr>
            </w:pPr>
          </w:p>
        </w:tc>
      </w:tr>
      <w:tr w:rsidR="00197DD0" w:rsidRPr="00C3236F" w14:paraId="58CE1371" w14:textId="77777777" w:rsidTr="00E46C89">
        <w:trPr>
          <w:trHeight w:val="732"/>
        </w:trPr>
        <w:tc>
          <w:tcPr>
            <w:tcW w:w="2379" w:type="pct"/>
            <w:hideMark/>
          </w:tcPr>
          <w:p w14:paraId="3A37CA8F" w14:textId="6D92C7A4" w:rsidR="00197DD0" w:rsidRPr="00C3236F" w:rsidRDefault="00197DD0" w:rsidP="00197DD0">
            <w:pPr>
              <w:rPr>
                <w:rFonts w:cs="Arial"/>
                <w:b/>
                <w:bCs/>
                <w:color w:val="000000"/>
                <w:sz w:val="24"/>
                <w:szCs w:val="24"/>
                <w:lang w:val="en-GB" w:eastAsia="en-GB"/>
              </w:rPr>
            </w:pPr>
            <w:r w:rsidRPr="00C3236F">
              <w:rPr>
                <w:rFonts w:cs="Arial"/>
                <w:b/>
                <w:bCs/>
                <w:color w:val="000000"/>
                <w:sz w:val="24"/>
                <w:szCs w:val="24"/>
                <w:lang w:eastAsia="en-GB"/>
              </w:rPr>
              <w:t>T2-</w:t>
            </w:r>
            <w:r>
              <w:rPr>
                <w:rFonts w:cs="Arial"/>
                <w:b/>
                <w:bCs/>
                <w:color w:val="000000"/>
                <w:sz w:val="24"/>
                <w:szCs w:val="24"/>
                <w:lang w:eastAsia="en-GB"/>
              </w:rPr>
              <w:t xml:space="preserve">97 v </w:t>
            </w:r>
            <w:r w:rsidRPr="00C3236F">
              <w:rPr>
                <w:rFonts w:cs="Arial"/>
                <w:b/>
                <w:bCs/>
                <w:color w:val="000000"/>
                <w:sz w:val="24"/>
                <w:szCs w:val="24"/>
                <w:lang w:eastAsia="en-GB"/>
              </w:rPr>
              <w:t>Control</w:t>
            </w:r>
            <w:r>
              <w:rPr>
                <w:rFonts w:cs="Arial"/>
                <w:b/>
                <w:bCs/>
                <w:color w:val="000000"/>
                <w:sz w:val="24"/>
                <w:szCs w:val="24"/>
                <w:lang w:eastAsia="en-GB"/>
              </w:rPr>
              <w:t>-WT</w:t>
            </w:r>
            <w:r w:rsidRPr="00C3236F">
              <w:rPr>
                <w:rFonts w:cs="Arial"/>
                <w:b/>
                <w:bCs/>
                <w:color w:val="000000"/>
                <w:sz w:val="24"/>
                <w:szCs w:val="24"/>
                <w:lang w:eastAsia="en-GB"/>
              </w:rPr>
              <w:t xml:space="preserve"> </w:t>
            </w:r>
          </w:p>
        </w:tc>
        <w:tc>
          <w:tcPr>
            <w:tcW w:w="1350" w:type="pct"/>
            <w:hideMark/>
          </w:tcPr>
          <w:p w14:paraId="22A2798C" w14:textId="6DD942A7" w:rsidR="00197DD0" w:rsidRDefault="00197DD0" w:rsidP="00197DD0">
            <w:pPr>
              <w:jc w:val="center"/>
              <w:rPr>
                <w:rFonts w:cs="Arial"/>
                <w:color w:val="FF0000"/>
                <w:sz w:val="24"/>
                <w:szCs w:val="24"/>
                <w:lang w:eastAsia="en-GB"/>
              </w:rPr>
            </w:pPr>
            <w:r>
              <w:rPr>
                <w:rFonts w:cs="Arial"/>
                <w:color w:val="4F81BD"/>
                <w:sz w:val="24"/>
                <w:szCs w:val="24"/>
                <w:lang w:eastAsia="en-GB"/>
              </w:rPr>
              <w:t>Ron, ITK, R</w:t>
            </w:r>
            <w:r w:rsidR="009B7E81">
              <w:rPr>
                <w:rFonts w:cs="Arial"/>
                <w:color w:val="4F81BD"/>
                <w:sz w:val="24"/>
                <w:szCs w:val="24"/>
                <w:lang w:eastAsia="en-GB"/>
              </w:rPr>
              <w:t>et</w:t>
            </w:r>
            <w:r>
              <w:rPr>
                <w:rFonts w:cs="Arial"/>
                <w:color w:val="4F81BD"/>
                <w:sz w:val="24"/>
                <w:szCs w:val="24"/>
                <w:lang w:eastAsia="en-GB"/>
              </w:rPr>
              <w:t>, MEK1, Tyro3/Sky</w:t>
            </w:r>
            <w:r w:rsidRPr="00C3236F">
              <w:rPr>
                <w:rFonts w:cs="Arial"/>
                <w:color w:val="000000"/>
                <w:sz w:val="24"/>
                <w:szCs w:val="24"/>
                <w:lang w:eastAsia="en-GB"/>
              </w:rPr>
              <w:t xml:space="preserve"> / </w:t>
            </w:r>
            <w:r>
              <w:rPr>
                <w:rFonts w:cs="Arial"/>
                <w:color w:val="FF0000"/>
                <w:sz w:val="24"/>
                <w:szCs w:val="24"/>
                <w:lang w:eastAsia="en-GB"/>
              </w:rPr>
              <w:t>Fgr, Lck, Yes, CTK</w:t>
            </w:r>
          </w:p>
          <w:p w14:paraId="0962A3A6" w14:textId="3400ED75" w:rsidR="00197DD0" w:rsidRPr="00C3236F" w:rsidRDefault="00197DD0" w:rsidP="00197DD0">
            <w:pPr>
              <w:jc w:val="center"/>
              <w:rPr>
                <w:rFonts w:cs="Arial"/>
                <w:color w:val="4F81BD"/>
                <w:sz w:val="24"/>
                <w:szCs w:val="24"/>
                <w:lang w:val="en-GB" w:eastAsia="en-GB"/>
              </w:rPr>
            </w:pPr>
          </w:p>
        </w:tc>
        <w:tc>
          <w:tcPr>
            <w:tcW w:w="1271" w:type="pct"/>
            <w:hideMark/>
          </w:tcPr>
          <w:p w14:paraId="4066A88F" w14:textId="515971B3" w:rsidR="00197DD0" w:rsidRPr="000A65E7" w:rsidRDefault="00197DD0" w:rsidP="00197DD0">
            <w:pPr>
              <w:jc w:val="center"/>
              <w:rPr>
                <w:rFonts w:cs="Arial"/>
                <w:color w:val="FF0000"/>
                <w:sz w:val="24"/>
                <w:szCs w:val="24"/>
                <w:lang w:val="en-GB" w:eastAsia="en-GB"/>
              </w:rPr>
            </w:pPr>
            <w:r w:rsidRPr="000A65E7">
              <w:rPr>
                <w:rFonts w:cs="Arial"/>
                <w:color w:val="4F81BD"/>
                <w:sz w:val="24"/>
                <w:szCs w:val="24"/>
                <w:lang w:val="en-GB" w:eastAsia="en-GB"/>
              </w:rPr>
              <w:t>ADCK3, RSLK2, PAK1, DAPK3, PKC</w:t>
            </w:r>
            <w:r>
              <w:rPr>
                <w:rFonts w:cs="Arial"/>
                <w:color w:val="4F81BD"/>
                <w:sz w:val="24"/>
                <w:szCs w:val="24"/>
                <w:lang w:eastAsia="en-GB"/>
              </w:rPr>
              <w:t>θ</w:t>
            </w:r>
            <w:r w:rsidRPr="000A65E7">
              <w:rPr>
                <w:rFonts w:cs="Arial"/>
                <w:color w:val="000000"/>
                <w:sz w:val="24"/>
                <w:szCs w:val="24"/>
                <w:lang w:val="en-GB" w:eastAsia="en-GB"/>
              </w:rPr>
              <w:t xml:space="preserve"> / </w:t>
            </w:r>
            <w:r w:rsidRPr="000A65E7">
              <w:rPr>
                <w:rFonts w:cs="Arial"/>
                <w:color w:val="FF0000"/>
                <w:sz w:val="24"/>
                <w:szCs w:val="24"/>
                <w:lang w:val="en-GB" w:eastAsia="en-GB"/>
              </w:rPr>
              <w:t>PKG1, CDK10, p70S6K</w:t>
            </w:r>
            <w:r>
              <w:rPr>
                <w:rFonts w:cs="Arial"/>
                <w:color w:val="FF0000"/>
                <w:sz w:val="24"/>
                <w:szCs w:val="24"/>
                <w:lang w:eastAsia="en-GB"/>
              </w:rPr>
              <w:t>β</w:t>
            </w:r>
            <w:r w:rsidRPr="000A65E7">
              <w:rPr>
                <w:rFonts w:cs="Arial"/>
                <w:color w:val="FF0000"/>
                <w:sz w:val="24"/>
                <w:szCs w:val="24"/>
                <w:lang w:val="en-GB" w:eastAsia="en-GB"/>
              </w:rPr>
              <w:t>, PFTAIRE2, IKK</w:t>
            </w:r>
            <w:r>
              <w:rPr>
                <w:rFonts w:cs="Arial"/>
                <w:color w:val="FF0000"/>
                <w:sz w:val="24"/>
                <w:szCs w:val="24"/>
                <w:lang w:val="en-GB" w:eastAsia="en-GB"/>
              </w:rPr>
              <w:t>α</w:t>
            </w:r>
          </w:p>
          <w:p w14:paraId="282CC6A9" w14:textId="46CCF884" w:rsidR="00197DD0" w:rsidRPr="00C3236F" w:rsidRDefault="00197DD0" w:rsidP="00197DD0">
            <w:pPr>
              <w:jc w:val="center"/>
              <w:rPr>
                <w:rFonts w:cs="Arial"/>
                <w:color w:val="4F81BD"/>
                <w:sz w:val="24"/>
                <w:szCs w:val="24"/>
                <w:lang w:val="en-GB" w:eastAsia="en-GB"/>
              </w:rPr>
            </w:pPr>
          </w:p>
        </w:tc>
      </w:tr>
      <w:tr w:rsidR="00197DD0" w:rsidRPr="00F06709" w14:paraId="6A109F6E" w14:textId="77777777" w:rsidTr="00E46C89">
        <w:trPr>
          <w:trHeight w:val="732"/>
        </w:trPr>
        <w:tc>
          <w:tcPr>
            <w:tcW w:w="2379" w:type="pct"/>
          </w:tcPr>
          <w:p w14:paraId="481346F0" w14:textId="6503E77E" w:rsidR="00197DD0" w:rsidRPr="00C3236F" w:rsidRDefault="00197DD0" w:rsidP="00197DD0">
            <w:pPr>
              <w:rPr>
                <w:rFonts w:cs="Arial"/>
                <w:b/>
                <w:bCs/>
                <w:color w:val="000000"/>
                <w:sz w:val="24"/>
                <w:lang w:eastAsia="en-GB"/>
              </w:rPr>
            </w:pPr>
            <w:r>
              <w:rPr>
                <w:rFonts w:cs="Arial"/>
                <w:b/>
                <w:bCs/>
                <w:color w:val="000000"/>
                <w:sz w:val="24"/>
                <w:lang w:eastAsia="en-GB"/>
              </w:rPr>
              <w:t>T1-96 v T2-97</w:t>
            </w:r>
          </w:p>
        </w:tc>
        <w:tc>
          <w:tcPr>
            <w:tcW w:w="1350" w:type="pct"/>
          </w:tcPr>
          <w:p w14:paraId="5FDB7AE4" w14:textId="428A396E" w:rsidR="00197DD0" w:rsidRDefault="00197DD0" w:rsidP="00197DD0">
            <w:pPr>
              <w:jc w:val="center"/>
              <w:rPr>
                <w:rFonts w:cs="Arial"/>
                <w:color w:val="FF0000"/>
                <w:sz w:val="24"/>
                <w:szCs w:val="24"/>
                <w:lang w:eastAsia="en-GB"/>
              </w:rPr>
            </w:pPr>
            <w:r>
              <w:rPr>
                <w:rFonts w:cs="Arial"/>
                <w:color w:val="4F81BD"/>
                <w:sz w:val="24"/>
                <w:szCs w:val="24"/>
                <w:lang w:eastAsia="en-GB"/>
              </w:rPr>
              <w:t xml:space="preserve">Lyn, Fgr, Lck, </w:t>
            </w:r>
            <w:r w:rsidR="009B7E81">
              <w:rPr>
                <w:rFonts w:cs="Arial"/>
                <w:color w:val="4F81BD"/>
                <w:sz w:val="24"/>
                <w:szCs w:val="24"/>
                <w:lang w:eastAsia="en-GB"/>
              </w:rPr>
              <w:t>CHK1</w:t>
            </w:r>
            <w:r>
              <w:rPr>
                <w:rFonts w:cs="Arial"/>
                <w:color w:val="4F81BD"/>
                <w:sz w:val="24"/>
                <w:szCs w:val="24"/>
                <w:lang w:eastAsia="en-GB"/>
              </w:rPr>
              <w:t xml:space="preserve">, </w:t>
            </w:r>
            <w:r w:rsidR="009B7E81">
              <w:rPr>
                <w:rFonts w:cs="Arial"/>
                <w:color w:val="4F81BD"/>
                <w:sz w:val="24"/>
                <w:szCs w:val="24"/>
                <w:lang w:eastAsia="en-GB"/>
              </w:rPr>
              <w:t>InSR</w:t>
            </w:r>
            <w:r w:rsidRPr="00C3236F">
              <w:rPr>
                <w:rFonts w:cs="Arial"/>
                <w:color w:val="000000"/>
                <w:sz w:val="24"/>
                <w:szCs w:val="24"/>
                <w:lang w:eastAsia="en-GB"/>
              </w:rPr>
              <w:t xml:space="preserve"> / </w:t>
            </w:r>
            <w:r w:rsidR="009B7E81">
              <w:rPr>
                <w:rFonts w:cs="Arial"/>
                <w:color w:val="FF0000"/>
                <w:sz w:val="24"/>
                <w:szCs w:val="24"/>
                <w:lang w:eastAsia="en-GB"/>
              </w:rPr>
              <w:t>FLT4</w:t>
            </w:r>
            <w:r>
              <w:rPr>
                <w:rFonts w:cs="Arial"/>
                <w:color w:val="FF0000"/>
                <w:sz w:val="24"/>
                <w:szCs w:val="24"/>
                <w:lang w:eastAsia="en-GB"/>
              </w:rPr>
              <w:t xml:space="preserve">, </w:t>
            </w:r>
            <w:r w:rsidR="009B7E81">
              <w:rPr>
                <w:rFonts w:cs="Arial"/>
                <w:color w:val="FF0000"/>
                <w:sz w:val="24"/>
                <w:szCs w:val="24"/>
                <w:lang w:eastAsia="en-GB"/>
              </w:rPr>
              <w:t>JAK1b</w:t>
            </w:r>
            <w:r>
              <w:rPr>
                <w:rFonts w:cs="Arial"/>
                <w:color w:val="FF0000"/>
                <w:sz w:val="24"/>
                <w:szCs w:val="24"/>
                <w:lang w:eastAsia="en-GB"/>
              </w:rPr>
              <w:t xml:space="preserve">, </w:t>
            </w:r>
            <w:r w:rsidR="009B7E81">
              <w:rPr>
                <w:rFonts w:cs="Arial"/>
                <w:color w:val="FF0000"/>
                <w:sz w:val="24"/>
                <w:szCs w:val="24"/>
                <w:lang w:eastAsia="en-GB"/>
              </w:rPr>
              <w:t>TRKB</w:t>
            </w:r>
            <w:r>
              <w:rPr>
                <w:rFonts w:cs="Arial"/>
                <w:color w:val="FF0000"/>
                <w:sz w:val="24"/>
                <w:szCs w:val="24"/>
                <w:lang w:eastAsia="en-GB"/>
              </w:rPr>
              <w:t xml:space="preserve">, </w:t>
            </w:r>
            <w:r w:rsidR="009B7E81">
              <w:rPr>
                <w:rFonts w:cs="Arial"/>
                <w:color w:val="FF0000"/>
                <w:sz w:val="24"/>
                <w:szCs w:val="24"/>
                <w:lang w:eastAsia="en-GB"/>
              </w:rPr>
              <w:t>FLT1</w:t>
            </w:r>
            <w:r>
              <w:rPr>
                <w:rFonts w:cs="Arial"/>
                <w:color w:val="FF0000"/>
                <w:sz w:val="24"/>
                <w:szCs w:val="24"/>
                <w:lang w:eastAsia="en-GB"/>
              </w:rPr>
              <w:t xml:space="preserve">, </w:t>
            </w:r>
            <w:r w:rsidR="009B7E81">
              <w:rPr>
                <w:rFonts w:cs="Arial"/>
                <w:color w:val="FF0000"/>
                <w:sz w:val="24"/>
                <w:szCs w:val="24"/>
                <w:lang w:eastAsia="en-GB"/>
              </w:rPr>
              <w:t>TRKC</w:t>
            </w:r>
          </w:p>
          <w:p w14:paraId="26953CEE" w14:textId="77777777" w:rsidR="00197DD0" w:rsidRDefault="00197DD0" w:rsidP="00197DD0">
            <w:pPr>
              <w:jc w:val="center"/>
              <w:rPr>
                <w:rFonts w:cs="Arial"/>
                <w:color w:val="4F81BD"/>
                <w:sz w:val="24"/>
                <w:lang w:eastAsia="en-GB"/>
              </w:rPr>
            </w:pPr>
          </w:p>
        </w:tc>
        <w:tc>
          <w:tcPr>
            <w:tcW w:w="1271" w:type="pct"/>
          </w:tcPr>
          <w:p w14:paraId="59D2B5DA" w14:textId="1D5F0E58" w:rsidR="00197DD0" w:rsidRPr="00F06709" w:rsidRDefault="00197DD0" w:rsidP="00197DD0">
            <w:pPr>
              <w:jc w:val="center"/>
              <w:rPr>
                <w:rFonts w:cs="Arial"/>
                <w:color w:val="FF0000"/>
                <w:sz w:val="24"/>
                <w:szCs w:val="24"/>
                <w:lang w:eastAsia="en-GB"/>
              </w:rPr>
            </w:pPr>
            <w:r w:rsidRPr="00F06709">
              <w:rPr>
                <w:rFonts w:cs="Arial"/>
                <w:color w:val="4F81BD"/>
                <w:sz w:val="24"/>
                <w:szCs w:val="24"/>
                <w:lang w:eastAsia="en-GB"/>
              </w:rPr>
              <w:t>p38</w:t>
            </w:r>
            <w:r>
              <w:rPr>
                <w:rFonts w:cs="Arial"/>
                <w:color w:val="4F81BD"/>
                <w:sz w:val="24"/>
                <w:szCs w:val="24"/>
                <w:lang w:eastAsia="en-GB"/>
              </w:rPr>
              <w:t>β</w:t>
            </w:r>
            <w:r w:rsidRPr="00F06709">
              <w:rPr>
                <w:rFonts w:cs="Arial"/>
                <w:color w:val="4F81BD"/>
                <w:sz w:val="24"/>
                <w:szCs w:val="24"/>
                <w:lang w:eastAsia="en-GB"/>
              </w:rPr>
              <w:t>, AurA, IKK</w:t>
            </w:r>
            <w:r>
              <w:rPr>
                <w:rFonts w:cs="Arial"/>
                <w:color w:val="4F81BD"/>
                <w:sz w:val="24"/>
                <w:szCs w:val="24"/>
                <w:lang w:eastAsia="en-GB"/>
              </w:rPr>
              <w:t>ε</w:t>
            </w:r>
            <w:r w:rsidRPr="00F06709">
              <w:rPr>
                <w:rFonts w:cs="Arial"/>
                <w:color w:val="4F81BD"/>
                <w:sz w:val="24"/>
                <w:szCs w:val="24"/>
                <w:lang w:eastAsia="en-GB"/>
              </w:rPr>
              <w:t>, CDK5, CDK11</w:t>
            </w:r>
            <w:r w:rsidRPr="00F06709">
              <w:rPr>
                <w:rFonts w:cs="Arial"/>
                <w:color w:val="000000"/>
                <w:sz w:val="24"/>
                <w:szCs w:val="24"/>
                <w:lang w:eastAsia="en-GB"/>
              </w:rPr>
              <w:t xml:space="preserve"> / </w:t>
            </w:r>
            <w:r w:rsidRPr="00F06709">
              <w:rPr>
                <w:rFonts w:cs="Arial"/>
                <w:color w:val="FF0000"/>
                <w:sz w:val="24"/>
                <w:szCs w:val="24"/>
                <w:lang w:eastAsia="en-GB"/>
              </w:rPr>
              <w:t>PAK1, CDK4, ERK</w:t>
            </w:r>
            <w:r>
              <w:rPr>
                <w:rFonts w:cs="Arial"/>
                <w:color w:val="FF0000"/>
                <w:sz w:val="24"/>
                <w:szCs w:val="24"/>
                <w:lang w:eastAsia="en-GB"/>
              </w:rPr>
              <w:t>1, RSK3, DCAMKL1</w:t>
            </w:r>
          </w:p>
          <w:p w14:paraId="464F44D6" w14:textId="77777777" w:rsidR="00197DD0" w:rsidRPr="00F06709" w:rsidRDefault="00197DD0" w:rsidP="00197DD0">
            <w:pPr>
              <w:jc w:val="center"/>
              <w:rPr>
                <w:rFonts w:cs="Arial"/>
                <w:color w:val="4F81BD"/>
                <w:sz w:val="24"/>
                <w:lang w:eastAsia="en-GB"/>
              </w:rPr>
            </w:pPr>
          </w:p>
        </w:tc>
      </w:tr>
    </w:tbl>
    <w:p w14:paraId="65B468D8" w14:textId="6B657168" w:rsidR="00670331" w:rsidRPr="00670331" w:rsidRDefault="00670331" w:rsidP="00670331">
      <w:pPr>
        <w:pStyle w:val="BodyText"/>
      </w:pPr>
    </w:p>
    <w:p w14:paraId="40475418" w14:textId="158DAD97" w:rsidR="00940B85" w:rsidRPr="002203A2" w:rsidRDefault="00940B85" w:rsidP="002203A2">
      <w:pPr>
        <w:pStyle w:val="Heading2"/>
        <w:numPr>
          <w:ilvl w:val="0"/>
          <w:numId w:val="0"/>
        </w:numPr>
        <w:rPr>
          <w:color w:val="FF0000"/>
        </w:rPr>
      </w:pPr>
    </w:p>
    <w:sectPr w:rsidR="00940B85" w:rsidRPr="002203A2" w:rsidSect="00760B68">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vithri Rangarajan" w:date="2022-01-28T13:35:00Z" w:initials="SR">
    <w:p w14:paraId="1292D033" w14:textId="7792C54C" w:rsidR="00B33136" w:rsidRDefault="00B33136">
      <w:pPr>
        <w:pStyle w:val="CommentText"/>
      </w:pPr>
      <w:r>
        <w:rPr>
          <w:rStyle w:val="CommentReference"/>
        </w:rPr>
        <w:annotationRef/>
      </w:r>
      <w:r>
        <w:t>Date should be FIXED not changing</w:t>
      </w:r>
    </w:p>
  </w:comment>
  <w:comment w:id="5" w:author="Savithri Rangarajan" w:date="2022-01-28T14:15:00Z" w:initials="SR">
    <w:p w14:paraId="330A8259" w14:textId="3B268B53" w:rsidR="00CF29B5" w:rsidRDefault="00CF29B5">
      <w:pPr>
        <w:pStyle w:val="CommentText"/>
      </w:pPr>
      <w:r>
        <w:rPr>
          <w:rStyle w:val="CommentReference"/>
        </w:rPr>
        <w:annotationRef/>
      </w:r>
      <w:r>
        <w:t>Check the Section numbers of Suppl as they were updated</w:t>
      </w:r>
    </w:p>
  </w:comment>
  <w:comment w:id="8" w:author="Savithri Rangarajan" w:date="2022-01-28T13:33:00Z" w:initials="SR">
    <w:p w14:paraId="637750EE" w14:textId="23CEB0A7" w:rsidR="0043105D" w:rsidRDefault="0043105D">
      <w:pPr>
        <w:pStyle w:val="CommentText"/>
      </w:pPr>
      <w:r>
        <w:rPr>
          <w:rStyle w:val="CommentReference"/>
        </w:rPr>
        <w:annotationRef/>
      </w:r>
      <w:r>
        <w:t>Peter: Top 10 then colour red or blue (not equal number of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2D033" w15:done="0"/>
  <w15:commentEx w15:paraId="330A8259" w15:done="0"/>
  <w15:commentEx w15:paraId="637750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6FBA" w16cex:dateUtc="2022-01-28T12:35:00Z"/>
  <w16cex:commentExtensible w16cex:durableId="259E78FD" w16cex:dateUtc="2022-01-28T13:15:00Z"/>
  <w16cex:commentExtensible w16cex:durableId="259E6F0D" w16cex:dateUtc="2022-01-28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2D033" w16cid:durableId="259E6FBA"/>
  <w16cid:commentId w16cid:paraId="330A8259" w16cid:durableId="259E78FD"/>
  <w16cid:commentId w16cid:paraId="637750EE" w16cid:durableId="259E6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97E9" w14:textId="77777777" w:rsidR="00FB67C4" w:rsidRDefault="00FB67C4">
      <w:pPr>
        <w:spacing w:after="0"/>
      </w:pPr>
      <w:r>
        <w:separator/>
      </w:r>
    </w:p>
  </w:endnote>
  <w:endnote w:type="continuationSeparator" w:id="0">
    <w:p w14:paraId="22E7FB3D" w14:textId="77777777" w:rsidR="00FB67C4" w:rsidRDefault="00FB67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CF1A" w14:textId="77777777" w:rsidR="005429E9" w:rsidRDefault="00FB6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111690"/>
      <w:docPartObj>
        <w:docPartGallery w:val="Page Numbers (Bottom of Page)"/>
        <w:docPartUnique/>
      </w:docPartObj>
    </w:sdtPr>
    <w:sdtEndPr>
      <w:rPr>
        <w:noProof/>
        <w:color w:val="1F497D" w:themeColor="text2"/>
      </w:rPr>
    </w:sdtEndPr>
    <w:sdtContent>
      <w:p w14:paraId="47A20FAF" w14:textId="77777777" w:rsidR="002337A3" w:rsidRPr="002337A3" w:rsidRDefault="00BF47AE" w:rsidP="00547E68">
        <w:pPr>
          <w:pStyle w:val="Footer"/>
          <w:rPr>
            <w:color w:val="1F497D" w:themeColor="text2"/>
          </w:rPr>
        </w:pPr>
        <w:r>
          <w:rPr>
            <w:color w:val="1F497D" w:themeColor="text2"/>
          </w:rPr>
          <w:tab/>
        </w:r>
        <w:r>
          <w:rPr>
            <w:color w:val="1F497D" w:themeColor="text2"/>
          </w:rPr>
          <w:tab/>
        </w:r>
        <w:r w:rsidRPr="002337A3">
          <w:rPr>
            <w:color w:val="1F497D" w:themeColor="text2"/>
          </w:rPr>
          <w:fldChar w:fldCharType="begin"/>
        </w:r>
        <w:r w:rsidRPr="002337A3">
          <w:rPr>
            <w:color w:val="1F497D" w:themeColor="text2"/>
          </w:rPr>
          <w:instrText xml:space="preserve"> PAGE   \* MERGEFORMAT </w:instrText>
        </w:r>
        <w:r w:rsidRPr="002337A3">
          <w:rPr>
            <w:color w:val="1F497D" w:themeColor="text2"/>
          </w:rPr>
          <w:fldChar w:fldCharType="separate"/>
        </w:r>
        <w:r>
          <w:rPr>
            <w:noProof/>
            <w:color w:val="1F497D" w:themeColor="text2"/>
          </w:rPr>
          <w:t>2</w:t>
        </w:r>
        <w:r w:rsidRPr="002337A3">
          <w:rPr>
            <w:noProof/>
            <w:color w:val="1F497D" w:themeColor="text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778799"/>
      <w:docPartObj>
        <w:docPartGallery w:val="Page Numbers (Bottom of Page)"/>
        <w:docPartUnique/>
      </w:docPartObj>
    </w:sdtPr>
    <w:sdtEndPr>
      <w:rPr>
        <w:noProof/>
        <w:color w:val="1F497D" w:themeColor="text2"/>
      </w:rPr>
    </w:sdtEndPr>
    <w:sdtContent>
      <w:p w14:paraId="53935848" w14:textId="77777777" w:rsidR="00547E68" w:rsidRDefault="00FB67C4" w:rsidP="002337A3">
        <w:pPr>
          <w:pStyle w:val="Footer"/>
          <w:jc w:val="right"/>
        </w:pPr>
      </w:p>
      <w:p w14:paraId="56AE95B3" w14:textId="77777777" w:rsidR="002337A3" w:rsidRPr="002337A3" w:rsidRDefault="00BF47AE" w:rsidP="00970935">
        <w:pPr>
          <w:pStyle w:val="Footer"/>
          <w:rPr>
            <w:color w:val="1F497D" w:themeColor="text2"/>
          </w:rPr>
        </w:pPr>
        <w:r>
          <w:tab/>
        </w:r>
        <w:r>
          <w:tab/>
        </w:r>
        <w:r w:rsidRPr="002337A3">
          <w:rPr>
            <w:color w:val="1F497D" w:themeColor="text2"/>
          </w:rPr>
          <w:fldChar w:fldCharType="begin"/>
        </w:r>
        <w:r w:rsidRPr="002337A3">
          <w:rPr>
            <w:color w:val="1F497D" w:themeColor="text2"/>
          </w:rPr>
          <w:instrText xml:space="preserve"> PAGE   \* MERGEFORMAT </w:instrText>
        </w:r>
        <w:r w:rsidRPr="002337A3">
          <w:rPr>
            <w:color w:val="1F497D" w:themeColor="text2"/>
          </w:rPr>
          <w:fldChar w:fldCharType="separate"/>
        </w:r>
        <w:r>
          <w:rPr>
            <w:noProof/>
            <w:color w:val="1F497D" w:themeColor="text2"/>
          </w:rPr>
          <w:t>1</w:t>
        </w:r>
        <w:r w:rsidRPr="002337A3">
          <w:rPr>
            <w:noProof/>
            <w:color w:val="1F497D" w:themeColor="text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39F9A" w14:textId="77777777" w:rsidR="00FB67C4" w:rsidRDefault="00FB67C4">
      <w:r>
        <w:separator/>
      </w:r>
    </w:p>
  </w:footnote>
  <w:footnote w:type="continuationSeparator" w:id="0">
    <w:p w14:paraId="2D038AA7" w14:textId="77777777" w:rsidR="00FB67C4" w:rsidRDefault="00FB6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203C" w14:textId="77777777" w:rsidR="005429E9" w:rsidRDefault="00FB6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65"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5"/>
    </w:tblGrid>
    <w:tr w:rsidR="002337A3" w14:paraId="0AFCCBE3" w14:textId="77777777" w:rsidTr="002337A3">
      <w:trPr>
        <w:trHeight w:val="433"/>
      </w:trPr>
      <w:tc>
        <w:tcPr>
          <w:tcW w:w="11165" w:type="dxa"/>
          <w:tcBorders>
            <w:bottom w:val="single" w:sz="8" w:space="0" w:color="244061" w:themeColor="accent1" w:themeShade="80"/>
          </w:tcBorders>
        </w:tcPr>
        <w:p w14:paraId="7BEB3FD5" w14:textId="77777777" w:rsidR="002337A3" w:rsidRPr="00627A91" w:rsidRDefault="00FB67C4" w:rsidP="002337A3">
          <w:pPr>
            <w:pStyle w:val="Header"/>
            <w:tabs>
              <w:tab w:val="center" w:pos="1080"/>
              <w:tab w:val="right" w:pos="10080"/>
            </w:tabs>
            <w:spacing w:line="360" w:lineRule="auto"/>
            <w:rPr>
              <w:b/>
              <w:bCs/>
              <w:color w:val="003366"/>
              <w:sz w:val="16"/>
              <w:szCs w:val="16"/>
              <w:lang w:val="en-GB"/>
            </w:rPr>
          </w:pPr>
        </w:p>
      </w:tc>
    </w:tr>
  </w:tbl>
  <w:p w14:paraId="1F268089" w14:textId="77777777" w:rsidR="00625DD5" w:rsidRPr="002337A3" w:rsidRDefault="00BF47AE" w:rsidP="002337A3">
    <w:pPr>
      <w:pStyle w:val="Header"/>
    </w:pPr>
    <w:r w:rsidRPr="00CB0765">
      <w:rPr>
        <w:b/>
        <w:noProof/>
        <w:sz w:val="16"/>
        <w:szCs w:val="16"/>
      </w:rPr>
      <w:drawing>
        <wp:anchor distT="0" distB="0" distL="114300" distR="114300" simplePos="0" relativeHeight="251705344" behindDoc="0" locked="0" layoutInCell="1" allowOverlap="1" wp14:anchorId="63982E8C" wp14:editId="603EAEF6">
          <wp:simplePos x="0" y="0"/>
          <wp:positionH relativeFrom="column">
            <wp:posOffset>4991100</wp:posOffset>
          </wp:positionH>
          <wp:positionV relativeFrom="paragraph">
            <wp:posOffset>-516255</wp:posOffset>
          </wp:positionV>
          <wp:extent cx="1476375" cy="464867"/>
          <wp:effectExtent l="0" t="0" r="0" b="0"/>
          <wp:wrapNone/>
          <wp:docPr id="3" name="Picture 1" descr="Logo_PamGene_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amGene_Tiff"/>
                  <pic:cNvPicPr>
                    <a:picLocks noChangeAspect="1" noChangeArrowheads="1"/>
                  </pic:cNvPicPr>
                </pic:nvPicPr>
                <pic:blipFill rotWithShape="1">
                  <a:blip r:embed="rId1">
                    <a:extLst>
                      <a:ext uri="{28A0092B-C50C-407E-A947-70E740481C1C}">
                        <a14:useLocalDpi xmlns:a14="http://schemas.microsoft.com/office/drawing/2010/main" val="0"/>
                      </a:ext>
                    </a:extLst>
                  </a:blip>
                  <a:srcRect t="20708" b="20940"/>
                  <a:stretch/>
                </pic:blipFill>
                <pic:spPr bwMode="auto">
                  <a:xfrm>
                    <a:off x="0" y="0"/>
                    <a:ext cx="1476375" cy="4648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57"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2337A3" w14:paraId="6E7B9A60" w14:textId="77777777" w:rsidTr="00195D5F">
      <w:trPr>
        <w:trHeight w:val="1567"/>
      </w:trPr>
      <w:tc>
        <w:tcPr>
          <w:tcW w:w="11057" w:type="dxa"/>
          <w:tcBorders>
            <w:bottom w:val="single" w:sz="8" w:space="0" w:color="244061" w:themeColor="accent1" w:themeShade="80"/>
          </w:tcBorders>
        </w:tcPr>
        <w:p w14:paraId="58D0696C" w14:textId="77777777" w:rsidR="002337A3" w:rsidRDefault="00BF47AE" w:rsidP="002337A3">
          <w:pPr>
            <w:pStyle w:val="Header"/>
            <w:tabs>
              <w:tab w:val="center" w:pos="1080"/>
              <w:tab w:val="right" w:pos="10080"/>
            </w:tabs>
            <w:spacing w:line="360" w:lineRule="auto"/>
            <w:rPr>
              <w:b/>
              <w:bCs/>
              <w:color w:val="0F243E" w:themeColor="text2" w:themeShade="80"/>
              <w:sz w:val="16"/>
              <w:szCs w:val="16"/>
              <w:lang w:val="en-GB"/>
            </w:rPr>
          </w:pPr>
          <w:r>
            <w:rPr>
              <w:b/>
              <w:bCs/>
              <w:color w:val="0F243E" w:themeColor="text2" w:themeShade="80"/>
              <w:sz w:val="16"/>
              <w:szCs w:val="16"/>
              <w:lang w:val="en-GB"/>
            </w:rPr>
            <w:t>w</w:t>
          </w:r>
          <w:r w:rsidRPr="00FB2032">
            <w:rPr>
              <w:b/>
              <w:bCs/>
              <w:color w:val="0F243E" w:themeColor="text2" w:themeShade="80"/>
              <w:sz w:val="16"/>
              <w:szCs w:val="16"/>
              <w:lang w:val="en-GB"/>
            </w:rPr>
            <w:t>ww.pamgene.com</w:t>
          </w:r>
        </w:p>
        <w:p w14:paraId="4E692E39" w14:textId="77777777" w:rsidR="002337A3" w:rsidRDefault="00BF47AE" w:rsidP="002337A3">
          <w:pPr>
            <w:pStyle w:val="Header"/>
            <w:tabs>
              <w:tab w:val="center" w:pos="1080"/>
              <w:tab w:val="right" w:pos="10080"/>
            </w:tabs>
            <w:spacing w:line="360" w:lineRule="auto"/>
            <w:rPr>
              <w:b/>
              <w:bCs/>
              <w:color w:val="0F243E" w:themeColor="text2" w:themeShade="80"/>
              <w:sz w:val="16"/>
              <w:szCs w:val="16"/>
              <w:lang w:val="en-GB"/>
            </w:rPr>
          </w:pPr>
          <w:r>
            <w:rPr>
              <w:b/>
              <w:bCs/>
              <w:color w:val="0F243E" w:themeColor="text2" w:themeShade="80"/>
              <w:sz w:val="16"/>
              <w:szCs w:val="16"/>
              <w:lang w:val="en-GB"/>
            </w:rPr>
            <w:t>Support email: Support@pamgene.com</w:t>
          </w:r>
        </w:p>
        <w:p w14:paraId="341F2051" w14:textId="77777777" w:rsidR="002337A3" w:rsidRPr="00FB2032" w:rsidRDefault="00BF47AE" w:rsidP="002337A3">
          <w:pPr>
            <w:pStyle w:val="Header"/>
            <w:tabs>
              <w:tab w:val="center" w:pos="1080"/>
              <w:tab w:val="right" w:pos="10080"/>
            </w:tabs>
            <w:spacing w:line="360" w:lineRule="auto"/>
            <w:rPr>
              <w:b/>
              <w:bCs/>
              <w:color w:val="0F243E" w:themeColor="text2" w:themeShade="80"/>
              <w:sz w:val="16"/>
              <w:szCs w:val="16"/>
              <w:lang w:val="en-GB"/>
            </w:rPr>
          </w:pPr>
          <w:r>
            <w:rPr>
              <w:b/>
              <w:bCs/>
              <w:color w:val="0F243E" w:themeColor="text2" w:themeShade="80"/>
              <w:sz w:val="16"/>
              <w:szCs w:val="16"/>
              <w:lang w:val="en-GB"/>
            </w:rPr>
            <w:t>Support Phone</w:t>
          </w:r>
          <w:r w:rsidRPr="00FB2032">
            <w:rPr>
              <w:b/>
              <w:bCs/>
              <w:color w:val="0F243E" w:themeColor="text2" w:themeShade="80"/>
              <w:sz w:val="16"/>
              <w:szCs w:val="16"/>
              <w:lang w:val="en-GB"/>
            </w:rPr>
            <w:t>:</w:t>
          </w:r>
          <w:r w:rsidRPr="00FB2032">
            <w:rPr>
              <w:b/>
              <w:color w:val="0F243E" w:themeColor="text2" w:themeShade="80"/>
              <w:sz w:val="16"/>
              <w:szCs w:val="16"/>
              <w:lang w:val="en-GB"/>
            </w:rPr>
            <w:t xml:space="preserve">   </w:t>
          </w:r>
          <w:r w:rsidRPr="00FB2032">
            <w:rPr>
              <w:b/>
              <w:bCs/>
              <w:color w:val="0F243E" w:themeColor="text2" w:themeShade="80"/>
              <w:sz w:val="16"/>
              <w:szCs w:val="16"/>
              <w:lang w:val="en-GB"/>
            </w:rPr>
            <w:t>+31 (0)73 615 8</w:t>
          </w:r>
          <w:r>
            <w:rPr>
              <w:b/>
              <w:bCs/>
              <w:color w:val="0F243E" w:themeColor="text2" w:themeShade="80"/>
              <w:sz w:val="16"/>
              <w:szCs w:val="16"/>
              <w:lang w:val="en-GB"/>
            </w:rPr>
            <w:t>9 00</w:t>
          </w:r>
        </w:p>
        <w:p w14:paraId="29279493" w14:textId="77777777" w:rsidR="002337A3" w:rsidRPr="00627A91" w:rsidRDefault="00FB67C4" w:rsidP="002337A3">
          <w:pPr>
            <w:pStyle w:val="Header"/>
            <w:tabs>
              <w:tab w:val="center" w:pos="1080"/>
              <w:tab w:val="right" w:pos="10080"/>
            </w:tabs>
            <w:spacing w:line="360" w:lineRule="auto"/>
            <w:rPr>
              <w:b/>
              <w:bCs/>
              <w:color w:val="003366"/>
              <w:sz w:val="16"/>
              <w:szCs w:val="16"/>
              <w:lang w:val="en-GB"/>
            </w:rPr>
          </w:pPr>
        </w:p>
      </w:tc>
    </w:tr>
  </w:tbl>
  <w:p w14:paraId="16DE3FF3" w14:textId="77777777" w:rsidR="002928B5" w:rsidRPr="002337A3" w:rsidRDefault="00BF47AE" w:rsidP="002337A3">
    <w:pPr>
      <w:pStyle w:val="Header"/>
      <w:tabs>
        <w:tab w:val="center" w:pos="1080"/>
        <w:tab w:val="right" w:pos="10080"/>
      </w:tabs>
      <w:rPr>
        <w:b/>
        <w:bCs/>
        <w:color w:val="003366"/>
        <w:lang w:val="en-GB"/>
      </w:rPr>
    </w:pPr>
    <w:r w:rsidRPr="00CB0765">
      <w:rPr>
        <w:b/>
        <w:noProof/>
        <w:sz w:val="16"/>
        <w:szCs w:val="16"/>
      </w:rPr>
      <w:drawing>
        <wp:anchor distT="0" distB="0" distL="114300" distR="114300" simplePos="0" relativeHeight="251700224" behindDoc="0" locked="0" layoutInCell="1" allowOverlap="1" wp14:anchorId="5FCB081B" wp14:editId="0B02CD80">
          <wp:simplePos x="0" y="0"/>
          <wp:positionH relativeFrom="column">
            <wp:posOffset>2878455</wp:posOffset>
          </wp:positionH>
          <wp:positionV relativeFrom="paragraph">
            <wp:posOffset>-1158570</wp:posOffset>
          </wp:positionV>
          <wp:extent cx="3599815" cy="1133475"/>
          <wp:effectExtent l="0" t="0" r="635" b="9525"/>
          <wp:wrapNone/>
          <wp:docPr id="5" name="Picture 1" descr="Logo_PamGene_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amGene_Tiff"/>
                  <pic:cNvPicPr>
                    <a:picLocks noChangeAspect="1" noChangeArrowheads="1"/>
                  </pic:cNvPicPr>
                </pic:nvPicPr>
                <pic:blipFill rotWithShape="1">
                  <a:blip r:embed="rId1">
                    <a:extLst>
                      <a:ext uri="{28A0092B-C50C-407E-A947-70E740481C1C}">
                        <a14:useLocalDpi xmlns:a14="http://schemas.microsoft.com/office/drawing/2010/main" val="0"/>
                      </a:ext>
                    </a:extLst>
                  </a:blip>
                  <a:srcRect t="20708" b="20940"/>
                  <a:stretch/>
                </pic:blipFill>
                <pic:spPr bwMode="auto">
                  <a:xfrm>
                    <a:off x="0" y="0"/>
                    <a:ext cx="359981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C76296F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 w15:restartNumberingAfterBreak="0">
    <w:nsid w:val="EA454B4C"/>
    <w:multiLevelType w:val="multilevel"/>
    <w:tmpl w:val="FD927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2DE3E48"/>
    <w:multiLevelType w:val="multilevel"/>
    <w:tmpl w:val="331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D2DE"/>
    <w:multiLevelType w:val="multilevel"/>
    <w:tmpl w:val="BA3E7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1D0E1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04132B2"/>
    <w:multiLevelType w:val="multilevel"/>
    <w:tmpl w:val="4C084BD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47261BAD"/>
    <w:multiLevelType w:val="multilevel"/>
    <w:tmpl w:val="E66652F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7" w15:restartNumberingAfterBreak="0">
    <w:nsid w:val="4FC57AF9"/>
    <w:multiLevelType w:val="hybridMultilevel"/>
    <w:tmpl w:val="8BB29B80"/>
    <w:lvl w:ilvl="0" w:tplc="49B648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4473C"/>
    <w:multiLevelType w:val="hybridMultilevel"/>
    <w:tmpl w:val="0C58032E"/>
    <w:lvl w:ilvl="0" w:tplc="4F54A746">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9B1017B"/>
    <w:multiLevelType w:val="hybridMultilevel"/>
    <w:tmpl w:val="6F3A7A4E"/>
    <w:lvl w:ilvl="0" w:tplc="82A44F66">
      <w:start w:val="1"/>
      <w:numFmt w:val="lowerLetter"/>
      <w:lvlText w:val="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14E2D"/>
    <w:multiLevelType w:val="hybridMultilevel"/>
    <w:tmpl w:val="1D582DEE"/>
    <w:lvl w:ilvl="0" w:tplc="82CAFE32">
      <w:start w:val="1"/>
      <w:numFmt w:val="decimal"/>
      <w:lvlText w:val="%1."/>
      <w:lvlJc w:val="left"/>
      <w:pPr>
        <w:ind w:left="360" w:hanging="360"/>
      </w:pPr>
    </w:lvl>
    <w:lvl w:ilvl="1" w:tplc="04090019" w:tentative="1">
      <w:start w:val="1"/>
      <w:numFmt w:val="lowerLetter"/>
      <w:lvlText w:val="%2."/>
      <w:lvlJc w:val="left"/>
      <w:pPr>
        <w:ind w:left="1440" w:hanging="360"/>
      </w:pPr>
    </w:lvl>
    <w:lvl w:ilvl="2" w:tplc="DC98740A">
      <w:start w:val="1"/>
      <w:numFmt w:val="lowerLetter"/>
      <w:lvlText w:val="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A16AD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3"/>
  </w:num>
  <w:num w:numId="3">
    <w:abstractNumId w:val="1"/>
  </w:num>
  <w:num w:numId="4">
    <w:abstractNumId w:val="1"/>
  </w:num>
  <w:num w:numId="5">
    <w:abstractNumId w:val="7"/>
  </w:num>
  <w:num w:numId="6">
    <w:abstractNumId w:val="9"/>
  </w:num>
  <w:num w:numId="7">
    <w:abstractNumId w:val="10"/>
  </w:num>
  <w:num w:numId="8">
    <w:abstractNumId w:val="8"/>
  </w:num>
  <w:num w:numId="9">
    <w:abstractNumId w:val="10"/>
    <w:lvlOverride w:ilvl="0">
      <w:startOverride w:val="1"/>
    </w:lvlOverride>
  </w:num>
  <w:num w:numId="10">
    <w:abstractNumId w:val="5"/>
  </w:num>
  <w:num w:numId="11">
    <w:abstractNumId w:val="4"/>
  </w:num>
  <w:num w:numId="12">
    <w:abstractNumId w:val="1"/>
  </w:num>
  <w:num w:numId="13">
    <w:abstractNumId w:val="1"/>
  </w:num>
  <w:num w:numId="14">
    <w:abstractNumId w:val="1"/>
  </w:num>
  <w:num w:numId="15">
    <w:abstractNumId w:val="1"/>
  </w:num>
  <w:num w:numId="16">
    <w:abstractNumId w:val="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0">
    <w:abstractNumId w:val="1"/>
  </w:num>
  <w:num w:numId="31">
    <w:abstractNumId w:val="1"/>
  </w:num>
  <w:num w:numId="32">
    <w:abstractNumId w:val="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vithri Rangarajan">
    <w15:presenceInfo w15:providerId="AD" w15:userId="S::srangarajan@pamgene.com::93e041d3-fbb8-431c-ae03-9b7b6351eb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8EB"/>
    <w:rsid w:val="00011C8B"/>
    <w:rsid w:val="0006308A"/>
    <w:rsid w:val="00065ABB"/>
    <w:rsid w:val="000668D7"/>
    <w:rsid w:val="00071194"/>
    <w:rsid w:val="000A20A0"/>
    <w:rsid w:val="000A65E7"/>
    <w:rsid w:val="000F093D"/>
    <w:rsid w:val="0010027C"/>
    <w:rsid w:val="0011017B"/>
    <w:rsid w:val="00132C6D"/>
    <w:rsid w:val="00191FE2"/>
    <w:rsid w:val="00197DD0"/>
    <w:rsid w:val="001B0344"/>
    <w:rsid w:val="001E4C0B"/>
    <w:rsid w:val="001E735C"/>
    <w:rsid w:val="002203A2"/>
    <w:rsid w:val="00247483"/>
    <w:rsid w:val="00286CB1"/>
    <w:rsid w:val="002933D4"/>
    <w:rsid w:val="002A5DFE"/>
    <w:rsid w:val="002B4CB8"/>
    <w:rsid w:val="00337FD3"/>
    <w:rsid w:val="0036444B"/>
    <w:rsid w:val="0037620E"/>
    <w:rsid w:val="003F3136"/>
    <w:rsid w:val="0043105D"/>
    <w:rsid w:val="0046059C"/>
    <w:rsid w:val="00490F4E"/>
    <w:rsid w:val="004E28AA"/>
    <w:rsid w:val="004E29B3"/>
    <w:rsid w:val="0052548A"/>
    <w:rsid w:val="00550AD8"/>
    <w:rsid w:val="00590D07"/>
    <w:rsid w:val="005A468D"/>
    <w:rsid w:val="005A75BC"/>
    <w:rsid w:val="00615CAD"/>
    <w:rsid w:val="00670331"/>
    <w:rsid w:val="006F742F"/>
    <w:rsid w:val="007219D3"/>
    <w:rsid w:val="00777C84"/>
    <w:rsid w:val="00784D58"/>
    <w:rsid w:val="007A05D7"/>
    <w:rsid w:val="007B0E3B"/>
    <w:rsid w:val="007D062D"/>
    <w:rsid w:val="00811C9A"/>
    <w:rsid w:val="00820326"/>
    <w:rsid w:val="00866530"/>
    <w:rsid w:val="008D094F"/>
    <w:rsid w:val="008D6863"/>
    <w:rsid w:val="008D68FD"/>
    <w:rsid w:val="008F3553"/>
    <w:rsid w:val="00940B85"/>
    <w:rsid w:val="009B3396"/>
    <w:rsid w:val="009B7E81"/>
    <w:rsid w:val="00A14E6F"/>
    <w:rsid w:val="00A6394C"/>
    <w:rsid w:val="00A8487E"/>
    <w:rsid w:val="00AA2E8A"/>
    <w:rsid w:val="00AB48DF"/>
    <w:rsid w:val="00AC56F2"/>
    <w:rsid w:val="00AD1391"/>
    <w:rsid w:val="00AE4D72"/>
    <w:rsid w:val="00B33136"/>
    <w:rsid w:val="00B3352F"/>
    <w:rsid w:val="00B34626"/>
    <w:rsid w:val="00B731E6"/>
    <w:rsid w:val="00B82AD9"/>
    <w:rsid w:val="00B85EDC"/>
    <w:rsid w:val="00B86B75"/>
    <w:rsid w:val="00B93FB5"/>
    <w:rsid w:val="00BA5287"/>
    <w:rsid w:val="00BC48D5"/>
    <w:rsid w:val="00BD3DDD"/>
    <w:rsid w:val="00BE599E"/>
    <w:rsid w:val="00BF47AE"/>
    <w:rsid w:val="00BF72B3"/>
    <w:rsid w:val="00C3236F"/>
    <w:rsid w:val="00C36279"/>
    <w:rsid w:val="00C406FD"/>
    <w:rsid w:val="00C43D88"/>
    <w:rsid w:val="00C53CE3"/>
    <w:rsid w:val="00C640B4"/>
    <w:rsid w:val="00CE2594"/>
    <w:rsid w:val="00CF29B5"/>
    <w:rsid w:val="00CF439A"/>
    <w:rsid w:val="00D65E7B"/>
    <w:rsid w:val="00D738B3"/>
    <w:rsid w:val="00D95999"/>
    <w:rsid w:val="00E305AF"/>
    <w:rsid w:val="00E315A3"/>
    <w:rsid w:val="00E44296"/>
    <w:rsid w:val="00EA5842"/>
    <w:rsid w:val="00F06709"/>
    <w:rsid w:val="00F416C2"/>
    <w:rsid w:val="00F62ACB"/>
    <w:rsid w:val="00F834E4"/>
    <w:rsid w:val="00FB67C4"/>
    <w:rsid w:val="00FE3E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E6D"/>
  <w15:docId w15:val="{99684FB1-2E91-4B62-BDE5-61B1326B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709"/>
    <w:rPr>
      <w:rFonts w:ascii="Arial" w:hAnsi="Arial"/>
      <w:sz w:val="22"/>
    </w:rPr>
  </w:style>
  <w:style w:type="paragraph" w:styleId="Heading1">
    <w:name w:val="heading 1"/>
    <w:basedOn w:val="Normal"/>
    <w:next w:val="BodyText"/>
    <w:uiPriority w:val="9"/>
    <w:qFormat/>
    <w:rsid w:val="003E6B44"/>
    <w:pPr>
      <w:keepNext/>
      <w:keepLines/>
      <w:numPr>
        <w:numId w:val="10"/>
      </w:numPr>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3F7EDF"/>
    <w:pPr>
      <w:keepNext/>
      <w:keepLines/>
      <w:numPr>
        <w:ilvl w:val="1"/>
        <w:numId w:val="10"/>
      </w:numPr>
      <w:spacing w:before="200" w:after="0"/>
      <w:outlineLvl w:val="1"/>
    </w:pPr>
    <w:rPr>
      <w:rFonts w:eastAsiaTheme="majorEastAsia" w:cstheme="majorBidi"/>
      <w:b/>
      <w:bCs/>
      <w:color w:val="4F81BD" w:themeColor="accent1"/>
      <w:sz w:val="28"/>
      <w:szCs w:val="32"/>
    </w:rPr>
  </w:style>
  <w:style w:type="paragraph" w:styleId="Heading3">
    <w:name w:val="heading 3"/>
    <w:basedOn w:val="Normal"/>
    <w:next w:val="BodyText"/>
    <w:uiPriority w:val="9"/>
    <w:unhideWhenUsed/>
    <w:qFormat/>
    <w:rsid w:val="000B5EFA"/>
    <w:pPr>
      <w:keepNext/>
      <w:keepLines/>
      <w:numPr>
        <w:ilvl w:val="2"/>
        <w:numId w:val="10"/>
      </w:numPr>
      <w:spacing w:before="200" w:after="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3F7EDF"/>
    <w:pPr>
      <w:keepNext/>
      <w:keepLines/>
      <w:numPr>
        <w:ilvl w:val="3"/>
        <w:numId w:val="10"/>
      </w:numPr>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A6CD1"/>
    <w:pPr>
      <w:keepNext/>
      <w:keepLines/>
      <w:spacing w:before="200" w:after="0"/>
      <w:outlineLvl w:val="4"/>
    </w:pPr>
    <w:rPr>
      <w:rFonts w:eastAsiaTheme="majorEastAsia" w:cstheme="majorBid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D0A5C"/>
    <w:pPr>
      <w:keepNext/>
      <w:keepLines/>
      <w:pageBreakBefore/>
      <w:spacing w:before="200" w:after="0"/>
      <w:outlineLvl w:val="8"/>
    </w:pPr>
    <w:rPr>
      <w:rFonts w:eastAsiaTheme="majorEastAsia"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25DD5"/>
    <w:pPr>
      <w:spacing w:before="180" w:after="180"/>
    </w:pPr>
  </w:style>
  <w:style w:type="paragraph" w:customStyle="1" w:styleId="FirstParagraph">
    <w:name w:val="First Paragraph"/>
    <w:basedOn w:val="BodyText"/>
    <w:next w:val="BodyText"/>
    <w:qFormat/>
    <w:rsid w:val="00625DD5"/>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0559D7"/>
    <w:pPr>
      <w:keepNext/>
      <w:keepLines/>
      <w:spacing w:before="480" w:after="240"/>
      <w:jc w:val="center"/>
    </w:pPr>
    <w:rPr>
      <w:rFonts w:eastAsiaTheme="majorEastAsia" w:cstheme="majorBidi"/>
      <w:b/>
      <w:bCs/>
      <w:color w:val="002060"/>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928B5"/>
    <w:pPr>
      <w:keepNext/>
      <w:keepLines/>
      <w:jc w:val="center"/>
    </w:pPr>
    <w:rPr>
      <w:rFonts w:ascii="Arial" w:hAnsi="Arial"/>
    </w:rPr>
  </w:style>
  <w:style w:type="paragraph" w:styleId="Date">
    <w:name w:val="Date"/>
    <w:next w:val="BodyText"/>
    <w:qFormat/>
    <w:rsid w:val="00315802"/>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3"/>
    <w:next w:val="BodyText"/>
    <w:uiPriority w:val="39"/>
    <w:unhideWhenUsed/>
    <w:qFormat/>
    <w:rsid w:val="003E6B44"/>
    <w:pPr>
      <w:numPr>
        <w:numId w:val="0"/>
      </w:numPr>
      <w:spacing w:after="240" w:line="259" w:lineRule="auto"/>
      <w:outlineLvl w:val="9"/>
    </w:pPr>
    <w:rPr>
      <w:bCs w:val="0"/>
      <w:color w:val="1F497D" w:themeColor="text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4407A"/>
    <w:pPr>
      <w:spacing w:after="0"/>
    </w:pPr>
    <w:rPr>
      <w:rFonts w:ascii="Tahoma" w:hAnsi="Tahoma" w:cs="Tahoma"/>
      <w:sz w:val="16"/>
      <w:szCs w:val="16"/>
    </w:rPr>
  </w:style>
  <w:style w:type="character" w:customStyle="1" w:styleId="BalloonTextChar">
    <w:name w:val="Balloon Text Char"/>
    <w:basedOn w:val="DefaultParagraphFont"/>
    <w:link w:val="BalloonText"/>
    <w:rsid w:val="00F4407A"/>
    <w:rPr>
      <w:rFonts w:ascii="Tahoma" w:hAnsi="Tahoma" w:cs="Tahoma"/>
      <w:sz w:val="16"/>
      <w:szCs w:val="16"/>
    </w:rPr>
  </w:style>
  <w:style w:type="paragraph" w:styleId="Header">
    <w:name w:val="header"/>
    <w:basedOn w:val="Normal"/>
    <w:link w:val="HeaderChar"/>
    <w:rsid w:val="00625DD5"/>
    <w:pPr>
      <w:tabs>
        <w:tab w:val="center" w:pos="4680"/>
        <w:tab w:val="right" w:pos="9360"/>
      </w:tabs>
      <w:spacing w:after="0"/>
    </w:pPr>
  </w:style>
  <w:style w:type="character" w:customStyle="1" w:styleId="HeaderChar">
    <w:name w:val="Header Char"/>
    <w:basedOn w:val="DefaultParagraphFont"/>
    <w:link w:val="Header"/>
    <w:rsid w:val="00625DD5"/>
  </w:style>
  <w:style w:type="paragraph" w:styleId="Footer">
    <w:name w:val="footer"/>
    <w:basedOn w:val="Normal"/>
    <w:link w:val="FooterChar"/>
    <w:uiPriority w:val="99"/>
    <w:rsid w:val="00625DD5"/>
    <w:pPr>
      <w:tabs>
        <w:tab w:val="center" w:pos="4680"/>
        <w:tab w:val="right" w:pos="9360"/>
      </w:tabs>
      <w:spacing w:after="0"/>
    </w:pPr>
  </w:style>
  <w:style w:type="character" w:customStyle="1" w:styleId="FooterChar">
    <w:name w:val="Footer Char"/>
    <w:basedOn w:val="DefaultParagraphFont"/>
    <w:link w:val="Footer"/>
    <w:uiPriority w:val="99"/>
    <w:rsid w:val="00625DD5"/>
  </w:style>
  <w:style w:type="table" w:styleId="TableGrid">
    <w:name w:val="Table Grid"/>
    <w:basedOn w:val="TableNormal"/>
    <w:uiPriority w:val="59"/>
    <w:rsid w:val="002337A3"/>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2090"/>
    <w:pPr>
      <w:spacing w:after="100"/>
      <w:ind w:left="440"/>
    </w:pPr>
  </w:style>
  <w:style w:type="character" w:customStyle="1" w:styleId="BodyTextChar">
    <w:name w:val="Body Text Char"/>
    <w:basedOn w:val="DefaultParagraphFont"/>
    <w:link w:val="BodyText"/>
    <w:rsid w:val="00D4116E"/>
    <w:rPr>
      <w:rFonts w:ascii="Arial" w:hAnsi="Arial"/>
      <w:sz w:val="22"/>
    </w:rPr>
  </w:style>
  <w:style w:type="character" w:customStyle="1" w:styleId="TitleChar">
    <w:name w:val="Title Char"/>
    <w:basedOn w:val="DefaultParagraphFont"/>
    <w:link w:val="Title"/>
    <w:rsid w:val="000559D7"/>
    <w:rPr>
      <w:rFonts w:ascii="Arial" w:eastAsiaTheme="majorEastAsia" w:hAnsi="Arial" w:cstheme="majorBidi"/>
      <w:b/>
      <w:bCs/>
      <w:color w:val="002060"/>
      <w:sz w:val="48"/>
      <w:szCs w:val="36"/>
    </w:rPr>
  </w:style>
  <w:style w:type="paragraph" w:styleId="ListParagraph">
    <w:name w:val="List Paragraph"/>
    <w:basedOn w:val="Normal"/>
    <w:rsid w:val="009D258E"/>
    <w:pPr>
      <w:ind w:left="720"/>
      <w:contextualSpacing/>
    </w:pPr>
  </w:style>
  <w:style w:type="paragraph" w:styleId="TOC1">
    <w:name w:val="toc 1"/>
    <w:basedOn w:val="Normal"/>
    <w:next w:val="Normal"/>
    <w:autoRedefine/>
    <w:uiPriority w:val="39"/>
    <w:unhideWhenUsed/>
    <w:rsid w:val="00820326"/>
    <w:pPr>
      <w:spacing w:after="100"/>
    </w:pPr>
  </w:style>
  <w:style w:type="paragraph" w:styleId="TOC2">
    <w:name w:val="toc 2"/>
    <w:basedOn w:val="Normal"/>
    <w:next w:val="Normal"/>
    <w:autoRedefine/>
    <w:uiPriority w:val="39"/>
    <w:unhideWhenUsed/>
    <w:rsid w:val="00820326"/>
    <w:pPr>
      <w:spacing w:after="100"/>
      <w:ind w:left="220"/>
    </w:pPr>
  </w:style>
  <w:style w:type="paragraph" w:styleId="NormalWeb">
    <w:name w:val="Normal (Web)"/>
    <w:basedOn w:val="Normal"/>
    <w:uiPriority w:val="99"/>
    <w:semiHidden/>
    <w:unhideWhenUsed/>
    <w:rsid w:val="00940B85"/>
    <w:pPr>
      <w:spacing w:before="100" w:beforeAutospacing="1" w:after="100" w:afterAutospacing="1"/>
    </w:pPr>
    <w:rPr>
      <w:rFonts w:ascii="Times New Roman" w:eastAsia="Times New Roman" w:hAnsi="Times New Roman" w:cs="Times New Roman"/>
      <w:sz w:val="24"/>
      <w:lang w:val="en-GB" w:eastAsia="en-GB"/>
    </w:rPr>
  </w:style>
  <w:style w:type="character" w:styleId="CommentReference">
    <w:name w:val="annotation reference"/>
    <w:basedOn w:val="DefaultParagraphFont"/>
    <w:semiHidden/>
    <w:unhideWhenUsed/>
    <w:rsid w:val="007A05D7"/>
    <w:rPr>
      <w:sz w:val="16"/>
      <w:szCs w:val="16"/>
    </w:rPr>
  </w:style>
  <w:style w:type="paragraph" w:styleId="CommentText">
    <w:name w:val="annotation text"/>
    <w:basedOn w:val="Normal"/>
    <w:link w:val="CommentTextChar"/>
    <w:semiHidden/>
    <w:unhideWhenUsed/>
    <w:rsid w:val="007A05D7"/>
    <w:rPr>
      <w:sz w:val="20"/>
      <w:szCs w:val="20"/>
    </w:rPr>
  </w:style>
  <w:style w:type="character" w:customStyle="1" w:styleId="CommentTextChar">
    <w:name w:val="Comment Text Char"/>
    <w:basedOn w:val="DefaultParagraphFont"/>
    <w:link w:val="CommentText"/>
    <w:semiHidden/>
    <w:rsid w:val="007A05D7"/>
    <w:rPr>
      <w:rFonts w:ascii="Arial" w:hAnsi="Arial"/>
      <w:sz w:val="20"/>
      <w:szCs w:val="20"/>
    </w:rPr>
  </w:style>
  <w:style w:type="paragraph" w:styleId="CommentSubject">
    <w:name w:val="annotation subject"/>
    <w:basedOn w:val="CommentText"/>
    <w:next w:val="CommentText"/>
    <w:link w:val="CommentSubjectChar"/>
    <w:semiHidden/>
    <w:unhideWhenUsed/>
    <w:rsid w:val="007A05D7"/>
    <w:rPr>
      <w:b/>
      <w:bCs/>
    </w:rPr>
  </w:style>
  <w:style w:type="character" w:customStyle="1" w:styleId="CommentSubjectChar">
    <w:name w:val="Comment Subject Char"/>
    <w:basedOn w:val="CommentTextChar"/>
    <w:link w:val="CommentSubject"/>
    <w:semiHidden/>
    <w:rsid w:val="007A05D7"/>
    <w:rPr>
      <w:rFonts w:ascii="Arial" w:hAnsi="Arial"/>
      <w:b/>
      <w:bCs/>
      <w:sz w:val="20"/>
      <w:szCs w:val="20"/>
    </w:rPr>
  </w:style>
  <w:style w:type="paragraph" w:styleId="Revision">
    <w:name w:val="Revision"/>
    <w:hidden/>
    <w:semiHidden/>
    <w:rsid w:val="002933D4"/>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11437">
      <w:bodyDiv w:val="1"/>
      <w:marLeft w:val="0"/>
      <w:marRight w:val="0"/>
      <w:marTop w:val="0"/>
      <w:marBottom w:val="0"/>
      <w:divBdr>
        <w:top w:val="none" w:sz="0" w:space="0" w:color="auto"/>
        <w:left w:val="none" w:sz="0" w:space="0" w:color="auto"/>
        <w:bottom w:val="none" w:sz="0" w:space="0" w:color="auto"/>
        <w:right w:val="none" w:sz="0" w:space="0" w:color="auto"/>
      </w:divBdr>
    </w:div>
    <w:div w:id="822551960">
      <w:bodyDiv w:val="1"/>
      <w:marLeft w:val="0"/>
      <w:marRight w:val="0"/>
      <w:marTop w:val="0"/>
      <w:marBottom w:val="0"/>
      <w:divBdr>
        <w:top w:val="none" w:sz="0" w:space="0" w:color="auto"/>
        <w:left w:val="none" w:sz="0" w:space="0" w:color="auto"/>
        <w:bottom w:val="none" w:sz="0" w:space="0" w:color="auto"/>
        <w:right w:val="none" w:sz="0" w:space="0" w:color="auto"/>
      </w:divBdr>
    </w:div>
    <w:div w:id="1902904516">
      <w:bodyDiv w:val="1"/>
      <w:marLeft w:val="0"/>
      <w:marRight w:val="0"/>
      <w:marTop w:val="0"/>
      <w:marBottom w:val="0"/>
      <w:divBdr>
        <w:top w:val="none" w:sz="0" w:space="0" w:color="auto"/>
        <w:left w:val="none" w:sz="0" w:space="0" w:color="auto"/>
        <w:bottom w:val="none" w:sz="0" w:space="0" w:color="auto"/>
        <w:right w:val="none" w:sz="0" w:space="0" w:color="auto"/>
      </w:divBdr>
      <w:divsChild>
        <w:div w:id="2049910166">
          <w:marLeft w:val="0"/>
          <w:marRight w:val="0"/>
          <w:marTop w:val="0"/>
          <w:marBottom w:val="0"/>
          <w:divBdr>
            <w:top w:val="none" w:sz="0" w:space="0" w:color="auto"/>
            <w:left w:val="none" w:sz="0" w:space="0" w:color="auto"/>
            <w:bottom w:val="none" w:sz="0" w:space="0" w:color="auto"/>
            <w:right w:val="none" w:sz="0" w:space="0" w:color="auto"/>
          </w:divBdr>
          <w:divsChild>
            <w:div w:id="501045314">
              <w:marLeft w:val="0"/>
              <w:marRight w:val="0"/>
              <w:marTop w:val="0"/>
              <w:marBottom w:val="0"/>
              <w:divBdr>
                <w:top w:val="none" w:sz="0" w:space="0" w:color="auto"/>
                <w:left w:val="none" w:sz="0" w:space="0" w:color="auto"/>
                <w:bottom w:val="none" w:sz="0" w:space="0" w:color="auto"/>
                <w:right w:val="none" w:sz="0" w:space="0" w:color="auto"/>
              </w:divBdr>
              <w:divsChild>
                <w:div w:id="80377451">
                  <w:marLeft w:val="0"/>
                  <w:marRight w:val="0"/>
                  <w:marTop w:val="0"/>
                  <w:marBottom w:val="0"/>
                  <w:divBdr>
                    <w:top w:val="none" w:sz="0" w:space="0" w:color="auto"/>
                    <w:left w:val="none" w:sz="0" w:space="0" w:color="auto"/>
                    <w:bottom w:val="none" w:sz="0" w:space="0" w:color="auto"/>
                    <w:right w:val="none" w:sz="0" w:space="0" w:color="auto"/>
                  </w:divBdr>
                  <w:divsChild>
                    <w:div w:id="75321763">
                      <w:marLeft w:val="0"/>
                      <w:marRight w:val="0"/>
                      <w:marTop w:val="0"/>
                      <w:marBottom w:val="0"/>
                      <w:divBdr>
                        <w:top w:val="none" w:sz="0" w:space="0" w:color="auto"/>
                        <w:left w:val="none" w:sz="0" w:space="0" w:color="auto"/>
                        <w:bottom w:val="none" w:sz="0" w:space="0" w:color="auto"/>
                        <w:right w:val="none" w:sz="0" w:space="0" w:color="auto"/>
                      </w:divBdr>
                      <w:divsChild>
                        <w:div w:id="1987003363">
                          <w:marLeft w:val="0"/>
                          <w:marRight w:val="0"/>
                          <w:marTop w:val="0"/>
                          <w:marBottom w:val="0"/>
                          <w:divBdr>
                            <w:top w:val="none" w:sz="0" w:space="0" w:color="auto"/>
                            <w:left w:val="none" w:sz="0" w:space="0" w:color="auto"/>
                            <w:bottom w:val="none" w:sz="0" w:space="0" w:color="auto"/>
                            <w:right w:val="none" w:sz="0" w:space="0" w:color="auto"/>
                          </w:divBdr>
                          <w:divsChild>
                            <w:div w:id="372387289">
                              <w:marLeft w:val="0"/>
                              <w:marRight w:val="0"/>
                              <w:marTop w:val="0"/>
                              <w:marBottom w:val="0"/>
                              <w:divBdr>
                                <w:top w:val="none" w:sz="0" w:space="0" w:color="auto"/>
                                <w:left w:val="none" w:sz="0" w:space="0" w:color="auto"/>
                                <w:bottom w:val="none" w:sz="0" w:space="0" w:color="auto"/>
                                <w:right w:val="none" w:sz="0" w:space="0" w:color="auto"/>
                              </w:divBdr>
                              <w:divsChild>
                                <w:div w:id="459154108">
                                  <w:marLeft w:val="0"/>
                                  <w:marRight w:val="0"/>
                                  <w:marTop w:val="0"/>
                                  <w:marBottom w:val="0"/>
                                  <w:divBdr>
                                    <w:top w:val="none" w:sz="0" w:space="0" w:color="auto"/>
                                    <w:left w:val="none" w:sz="0" w:space="0" w:color="auto"/>
                                    <w:bottom w:val="none" w:sz="0" w:space="0" w:color="auto"/>
                                    <w:right w:val="none" w:sz="0" w:space="0" w:color="auto"/>
                                  </w:divBdr>
                                  <w:divsChild>
                                    <w:div w:id="934901342">
                                      <w:marLeft w:val="0"/>
                                      <w:marRight w:val="0"/>
                                      <w:marTop w:val="0"/>
                                      <w:marBottom w:val="0"/>
                                      <w:divBdr>
                                        <w:top w:val="none" w:sz="0" w:space="0" w:color="auto"/>
                                        <w:left w:val="none" w:sz="0" w:space="0" w:color="auto"/>
                                        <w:bottom w:val="none" w:sz="0" w:space="0" w:color="auto"/>
                                        <w:right w:val="none" w:sz="0" w:space="0" w:color="auto"/>
                                      </w:divBdr>
                                      <w:divsChild>
                                        <w:div w:id="916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865605">
          <w:marLeft w:val="0"/>
          <w:marRight w:val="0"/>
          <w:marTop w:val="0"/>
          <w:marBottom w:val="0"/>
          <w:divBdr>
            <w:top w:val="none" w:sz="0" w:space="0" w:color="auto"/>
            <w:left w:val="none" w:sz="0" w:space="0" w:color="auto"/>
            <w:bottom w:val="none" w:sz="0" w:space="0" w:color="auto"/>
            <w:right w:val="none" w:sz="0" w:space="0" w:color="auto"/>
          </w:divBdr>
          <w:divsChild>
            <w:div w:id="824051273">
              <w:marLeft w:val="0"/>
              <w:marRight w:val="0"/>
              <w:marTop w:val="0"/>
              <w:marBottom w:val="0"/>
              <w:divBdr>
                <w:top w:val="none" w:sz="0" w:space="0" w:color="auto"/>
                <w:left w:val="none" w:sz="0" w:space="0" w:color="auto"/>
                <w:bottom w:val="none" w:sz="0" w:space="0" w:color="auto"/>
                <w:right w:val="none" w:sz="0" w:space="0" w:color="auto"/>
              </w:divBdr>
              <w:divsChild>
                <w:div w:id="1992319709">
                  <w:marLeft w:val="-15"/>
                  <w:marRight w:val="-15"/>
                  <w:marTop w:val="0"/>
                  <w:marBottom w:val="0"/>
                  <w:divBdr>
                    <w:top w:val="none" w:sz="0" w:space="0" w:color="auto"/>
                    <w:left w:val="none" w:sz="0" w:space="0" w:color="auto"/>
                    <w:bottom w:val="none" w:sz="0" w:space="0" w:color="auto"/>
                    <w:right w:val="none" w:sz="0" w:space="0" w:color="auto"/>
                  </w:divBdr>
                </w:div>
                <w:div w:id="1520268114">
                  <w:marLeft w:val="0"/>
                  <w:marRight w:val="0"/>
                  <w:marTop w:val="0"/>
                  <w:marBottom w:val="0"/>
                  <w:divBdr>
                    <w:top w:val="none" w:sz="0" w:space="0" w:color="auto"/>
                    <w:left w:val="none" w:sz="0" w:space="0" w:color="auto"/>
                    <w:bottom w:val="none" w:sz="0" w:space="0" w:color="auto"/>
                    <w:right w:val="none" w:sz="0" w:space="0" w:color="auto"/>
                  </w:divBdr>
                  <w:divsChild>
                    <w:div w:id="1043627826">
                      <w:marLeft w:val="0"/>
                      <w:marRight w:val="0"/>
                      <w:marTop w:val="0"/>
                      <w:marBottom w:val="0"/>
                      <w:divBdr>
                        <w:top w:val="single" w:sz="24" w:space="0" w:color="0F0F0F"/>
                        <w:left w:val="single" w:sz="24" w:space="0" w:color="0F0F0F"/>
                        <w:bottom w:val="single" w:sz="24" w:space="0" w:color="0F0F0F"/>
                        <w:right w:val="single" w:sz="24" w:space="0" w:color="0F0F0F"/>
                      </w:divBdr>
                      <w:divsChild>
                        <w:div w:id="7617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C6DDF-1571-41F6-A80B-72BC354E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Data analysis report</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dc:title>
  <dc:creator>Author Name and Customer</dc:creator>
  <cp:keywords/>
  <cp:lastModifiedBy>Savithri Rangarajan</cp:lastModifiedBy>
  <cp:revision>4</cp:revision>
  <dcterms:created xsi:type="dcterms:W3CDTF">2022-01-28T12:28:00Z</dcterms:created>
  <dcterms:modified xsi:type="dcterms:W3CDTF">2022-01-28T13:16:00Z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November, 2021</vt:lpwstr>
  </property>
  <property fmtid="{D5CDD505-2E9C-101B-9397-08002B2CF9AE}" pid="3" name="output">
    <vt:lpwstr/>
  </property>
  <property fmtid="{D5CDD505-2E9C-101B-9397-08002B2CF9AE}" pid="4" name="params">
    <vt:lpwstr/>
  </property>
  <property fmtid="{D5CDD505-2E9C-101B-9397-08002B2CF9AE}" pid="5" name="ZOTERO_PREF_1">
    <vt:lpwstr>&lt;data data-version="3" zotero-version="5.0.96.3"&gt;&lt;session id="eU8TedMM"/&gt;&lt;style id="http://www.zotero.org/styles/nature" hasBibliography="1" bibliographyStyleHasBeenSet="0"/&gt;&lt;prefs&gt;&lt;pref name="fieldType" value="Field"/&gt;&lt;pref name="automaticJournalAbbrevia</vt:lpwstr>
  </property>
  <property fmtid="{D5CDD505-2E9C-101B-9397-08002B2CF9AE}" pid="6" name="ZOTERO_PREF_2">
    <vt:lpwstr>tions" value="true"/&gt;&lt;/prefs&gt;&lt;/data&gt;</vt:lpwstr>
  </property>
</Properties>
</file>