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282"/>
        </w:tabs>
        <w:spacing w:after="1440" w:before="5160" w:line="720" w:lineRule="auto"/>
        <w:ind w:left="0" w:right="0" w:firstLine="0"/>
        <w:jc w:val="left"/>
        <w:rPr>
          <w:rFonts w:ascii="Calibri" w:cs="Calibri" w:eastAsia="Calibri" w:hAnsi="Calibri"/>
          <w:b w:val="0"/>
          <w:i w:val="0"/>
          <w:smallCaps w:val="0"/>
          <w:strike w:val="0"/>
          <w:color w:val="59473f"/>
          <w:sz w:val="52"/>
          <w:szCs w:val="5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3601835</wp:posOffset>
            </wp:positionH>
            <wp:positionV relativeFrom="paragraph">
              <wp:posOffset>4465089</wp:posOffset>
            </wp:positionV>
            <wp:extent cx="2291080" cy="1524000"/>
            <wp:effectExtent b="0" l="0" r="0" t="0"/>
            <wp:wrapSquare wrapText="bothSides" distB="0" distT="0" distL="114300" distR="114300"/>
            <wp:docPr id="3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2291080" cy="1524000"/>
                    </a:xfrm>
                    <a:prstGeom prst="rect"/>
                    <a:ln/>
                  </pic:spPr>
                </pic:pic>
              </a:graphicData>
            </a:graphic>
          </wp:anchor>
        </w:drawing>
      </w:r>
    </w:p>
    <w:p w:rsidR="00000000" w:rsidDel="00000000" w:rsidP="00000000" w:rsidRDefault="00000000" w:rsidRPr="00000000" w14:paraId="00000002">
      <w:pPr>
        <w:pStyle w:val="Subtitle"/>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3">
      <w:pPr>
        <w:pStyle w:val="Subtitle"/>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Style w:val="Subtitle"/>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pStyle w:val="Subtitle"/>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PRESENTED BY: P. Praveen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College Email:22341A1281@gmrit.edu.in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Registered Email:ppraveenbye@gmail.com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GM</w:t>
      </w:r>
      <w:r w:rsidDel="00000000" w:rsidR="00000000" w:rsidRPr="00000000">
        <w:rPr>
          <w:rFonts w:ascii="Times New Roman" w:cs="Times New Roman" w:eastAsia="Times New Roman" w:hAnsi="Times New Roman"/>
          <w:smallCaps w:val="1"/>
          <w:sz w:val="24"/>
          <w:szCs w:val="24"/>
          <w:rtl w:val="0"/>
        </w:rPr>
        <w:t xml:space="preserve">R INSTITUTE OF TECHNOLOGY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RAJAM</w:t>
      </w:r>
    </w:p>
    <w:p w:rsidR="00000000" w:rsidDel="00000000" w:rsidP="00000000" w:rsidRDefault="00000000" w:rsidRPr="00000000" w14:paraId="0000000A">
      <w:pPr>
        <w:pStyle w:val="Heading1"/>
        <w:jc w:val="left"/>
        <w:rPr>
          <w:sz w:val="28"/>
          <w:szCs w:val="28"/>
          <w:u w:val="single"/>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sz w:val="28"/>
          <w:szCs w:val="28"/>
          <w:u w:val="single"/>
          <w:rtl w:val="0"/>
        </w:rPr>
        <w:t xml:space="preserve"> PROJECT INDEX</w:t>
      </w:r>
    </w:p>
    <w:p w:rsidR="00000000" w:rsidDel="00000000" w:rsidP="00000000" w:rsidRDefault="00000000" w:rsidRPr="00000000" w14:paraId="0000000B">
      <w:pPr>
        <w:pStyle w:val="Heading2"/>
        <w:rPr>
          <w:sz w:val="28"/>
          <w:szCs w:val="28"/>
        </w:rPr>
      </w:pPr>
      <w:r w:rsidDel="00000000" w:rsidR="00000000" w:rsidRPr="00000000">
        <w:rPr>
          <w:rtl w:val="0"/>
        </w:rPr>
      </w:r>
    </w:p>
    <w:tbl>
      <w:tblPr>
        <w:tblStyle w:val="Table1"/>
        <w:tblW w:w="93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3475"/>
        <w:gridCol w:w="4185"/>
        <w:gridCol w:w="940"/>
        <w:tblGridChange w:id="0">
          <w:tblGrid>
            <w:gridCol w:w="704"/>
            <w:gridCol w:w="3475"/>
            <w:gridCol w:w="4185"/>
            <w:gridCol w:w="940"/>
          </w:tblGrid>
        </w:tblGridChange>
      </w:tblGrid>
      <w:tr>
        <w:trPr>
          <w:cantSplit w:val="0"/>
          <w:trHeight w:val="480" w:hRule="atLeast"/>
          <w:tblHeader w:val="0"/>
        </w:trPr>
        <w:tc>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no</w:t>
            </w:r>
          </w:p>
        </w:tc>
        <w:tc>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Sub-Content</w:t>
            </w:r>
          </w:p>
        </w:tc>
        <w:tc>
          <w:tcPr/>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Page .no</w:t>
            </w:r>
          </w:p>
        </w:tc>
      </w:tr>
      <w:tr>
        <w:trPr>
          <w:cantSplit w:val="0"/>
          <w:trHeight w:val="815" w:hRule="atLeast"/>
          <w:tblHeader w:val="0"/>
        </w:trPr>
        <w:tc>
          <w:tcPr/>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Project Overview</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Objective</w:t>
            </w:r>
          </w:p>
        </w:tc>
        <w:tc>
          <w:tcPr/>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w:t>
            </w:r>
          </w:p>
        </w:tc>
      </w:tr>
      <w:tr>
        <w:trPr>
          <w:cantSplit w:val="0"/>
          <w:trHeight w:val="784" w:hRule="atLeast"/>
          <w:tblHeader w:val="0"/>
        </w:trPr>
        <w:tc>
          <w:tcPr/>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16">
            <w:pPr>
              <w:tabs>
                <w:tab w:val="left" w:leader="none" w:pos="3971"/>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I: Requirement Analysis &amp; Planning:</w:t>
            </w:r>
          </w:p>
        </w:tc>
        <w:tc>
          <w:tcPr/>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Understanding Business Requirements:</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Defining Project Scope &amp; Objectives:</w:t>
            </w:r>
          </w:p>
        </w:tc>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1207" w:hRule="atLeast"/>
          <w:tblHeader w:val="0"/>
        </w:trPr>
        <w:tc>
          <w:tcPr/>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II: Salesforce Development – Backend &amp; Configurations:</w:t>
            </w:r>
          </w:p>
        </w:tc>
        <w:tc>
          <w:tcPr/>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Set Environment</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Customization of Objects and Fields</w:t>
            </w:r>
          </w:p>
          <w:p w:rsidR="00000000" w:rsidDel="00000000" w:rsidP="00000000" w:rsidRDefault="00000000" w:rsidRPr="00000000" w14:paraId="0000001E">
            <w:pPr>
              <w:tabs>
                <w:tab w:val="left" w:leader="none" w:pos="5136"/>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Automation (Flows and Process Builder)</w:t>
            </w:r>
          </w:p>
        </w:tc>
        <w:tc>
          <w:tcPr/>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w:t>
            </w:r>
          </w:p>
        </w:tc>
      </w:tr>
      <w:tr>
        <w:trPr>
          <w:cantSplit w:val="0"/>
          <w:trHeight w:val="1975" w:hRule="atLeast"/>
          <w:tblHeader w:val="0"/>
        </w:trPr>
        <w:tc>
          <w:tcPr/>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III: UI/UX Development &amp; Customisation:</w:t>
            </w:r>
          </w:p>
        </w:tc>
        <w:tc>
          <w:tcPr/>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Lightning App Setup</w:t>
            </w:r>
          </w:p>
          <w:p w:rsidR="00000000" w:rsidDel="00000000" w:rsidP="00000000" w:rsidRDefault="00000000" w:rsidRPr="00000000" w14:paraId="0000002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4.2 Page Layouts and Dynamic Forms</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Tabs</w:t>
            </w:r>
          </w:p>
          <w:p w:rsidR="00000000" w:rsidDel="00000000" w:rsidP="00000000" w:rsidRDefault="00000000" w:rsidRPr="00000000" w14:paraId="0000002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4.4 User Management</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Reports and Dashboards</w:t>
            </w:r>
          </w:p>
        </w:tc>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9-12</w:t>
            </w:r>
          </w:p>
        </w:tc>
      </w:tr>
      <w:tr>
        <w:trPr>
          <w:cantSplit w:val="0"/>
          <w:trHeight w:val="800" w:hRule="atLeast"/>
          <w:tblHeader w:val="0"/>
        </w:trPr>
        <w:tc>
          <w:tcPr/>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IV: Data Migration &amp; Security:</w:t>
            </w:r>
          </w:p>
        </w:tc>
        <w:tc>
          <w:tcPr/>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Data Loading</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5.2 Ensuring Data Access and Security</w:t>
            </w:r>
            <w:r w:rsidDel="00000000" w:rsidR="00000000" w:rsidRPr="00000000">
              <w:rPr>
                <w:rtl w:val="0"/>
              </w:rPr>
            </w:r>
          </w:p>
        </w:tc>
        <w:tc>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13-15</w:t>
            </w:r>
          </w:p>
        </w:tc>
      </w:tr>
      <w:tr>
        <w:trPr>
          <w:cantSplit w:val="0"/>
          <w:trHeight w:val="1238" w:hRule="atLeast"/>
          <w:tblHeader w:val="0"/>
        </w:trPr>
        <w:tc>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V: Deployment, Documentation &amp; Maintenance:</w:t>
            </w:r>
          </w:p>
        </w:tc>
        <w:tc>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Deployment</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Documentation</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Maintenance</w:t>
            </w:r>
          </w:p>
        </w:tc>
        <w:tc>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rHeight w:val="407" w:hRule="atLeast"/>
          <w:tblHeader w:val="0"/>
        </w:trPr>
        <w:tc>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6: Conclusion:</w:t>
            </w:r>
          </w:p>
        </w:tc>
        <w:tc>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17-18</w:t>
            </w:r>
          </w:p>
        </w:tc>
      </w:tr>
    </w:tbl>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tabs>
          <w:tab w:val="left" w:leader="none" w:pos="3971"/>
        </w:tabs>
        <w:rPr>
          <w:sz w:val="28"/>
          <w:szCs w:val="28"/>
        </w:rPr>
      </w:pPr>
      <w:r w:rsidDel="00000000" w:rsidR="00000000" w:rsidRPr="00000000">
        <w:rPr>
          <w:rtl w:val="0"/>
        </w:rPr>
      </w:r>
    </w:p>
    <w:p w:rsidR="00000000" w:rsidDel="00000000" w:rsidP="00000000" w:rsidRDefault="00000000" w:rsidRPr="00000000" w14:paraId="0000003E">
      <w:pPr>
        <w:tabs>
          <w:tab w:val="left" w:leader="none" w:pos="3971"/>
        </w:tabs>
        <w:rPr>
          <w:sz w:val="28"/>
          <w:szCs w:val="28"/>
        </w:rPr>
      </w:pPr>
      <w:r w:rsidDel="00000000" w:rsidR="00000000" w:rsidRPr="00000000">
        <w:rPr>
          <w:sz w:val="28"/>
          <w:szCs w:val="28"/>
          <w:rtl w:val="0"/>
        </w:rPr>
        <w:t xml:space="preserve">                         </w:t>
      </w:r>
    </w:p>
    <w:p w:rsidR="00000000" w:rsidDel="00000000" w:rsidP="00000000" w:rsidRDefault="00000000" w:rsidRPr="00000000" w14:paraId="0000003F">
      <w:pPr>
        <w:tabs>
          <w:tab w:val="left" w:leader="none" w:pos="3971"/>
        </w:tabs>
        <w:rPr>
          <w:b w:val="0"/>
          <w:color w:val="548ab7"/>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1. </w:t>
      </w:r>
      <w:r w:rsidDel="00000000" w:rsidR="00000000" w:rsidRPr="00000000">
        <w:rPr>
          <w:b w:val="0"/>
          <w:sz w:val="28"/>
          <w:szCs w:val="28"/>
          <w:u w:val="single"/>
          <w:rtl w:val="0"/>
        </w:rPr>
        <w:t xml:space="preserve">Introduction  </w:t>
      </w:r>
      <w:r w:rsidDel="00000000" w:rsidR="00000000" w:rsidRPr="00000000">
        <w:rPr>
          <w:rtl w:val="0"/>
        </w:rPr>
      </w:r>
    </w:p>
    <w:p w:rsidR="00000000" w:rsidDel="00000000" w:rsidP="00000000" w:rsidRDefault="00000000" w:rsidRPr="00000000" w14:paraId="00000040">
      <w:pPr>
        <w:pStyle w:val="Heading3"/>
        <w:rPr>
          <w:b w:val="0"/>
          <w:color w:val="548ab7"/>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pStyle w:val="Heading3"/>
        <w:numPr>
          <w:ilvl w:val="1"/>
          <w:numId w:val="26"/>
        </w:numPr>
        <w:ind w:left="480" w:hanging="480"/>
        <w:jc w:val="both"/>
        <w:rPr>
          <w:b w:val="0"/>
          <w:color w:val="548ab7"/>
          <w:sz w:val="28"/>
          <w:szCs w:val="28"/>
        </w:rPr>
      </w:pPr>
      <w:r w:rsidDel="00000000" w:rsidR="00000000" w:rsidRPr="00000000">
        <w:rPr>
          <w:b w:val="0"/>
          <w:color w:val="548ab7"/>
          <w:sz w:val="28"/>
          <w:szCs w:val="28"/>
          <w:u w:val="single"/>
          <w:rtl w:val="0"/>
        </w:rPr>
        <w:t xml:space="preserve">Project Overview:</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tabs>
          <w:tab w:val="left" w:leader="none" w:pos="3971"/>
        </w:tabs>
        <w:spacing w:line="276" w:lineRule="auto"/>
        <w:jc w:val="both"/>
        <w:rPr>
          <w:sz w:val="28"/>
          <w:szCs w:val="28"/>
        </w:rPr>
      </w:pPr>
      <w:r w:rsidDel="00000000" w:rsidR="00000000" w:rsidRPr="00000000">
        <w:rPr>
          <w:rFonts w:ascii="Times New Roman" w:cs="Times New Roman" w:eastAsia="Times New Roman" w:hAnsi="Times New Roman"/>
          <w:sz w:val="28"/>
          <w:szCs w:val="28"/>
          <w:rtl w:val="0"/>
        </w:rPr>
        <w:t xml:space="preserve">FoodConnect is a Salesforce CRM application that has been developed to efficiently connect food donors to poor, then needy, communities. The system manages venues with leftover food plus allocates tasks for volunteers. It tracks drop-off points too, delivery execution details, and perceptive reports to cut food wastage while ensuring operational transparency.</w:t>
      </w:r>
      <w:r w:rsidDel="00000000" w:rsidR="00000000" w:rsidRPr="00000000">
        <w:rPr>
          <w:rtl w:val="0"/>
        </w:rPr>
      </w:r>
    </w:p>
    <w:p w:rsidR="00000000" w:rsidDel="00000000" w:rsidP="00000000" w:rsidRDefault="00000000" w:rsidRPr="00000000" w14:paraId="00000045">
      <w:pPr>
        <w:tabs>
          <w:tab w:val="left" w:leader="none" w:pos="3971"/>
        </w:tabs>
        <w:jc w:val="both"/>
        <w:rPr>
          <w:sz w:val="28"/>
          <w:szCs w:val="28"/>
        </w:rPr>
      </w:pPr>
      <w:r w:rsidDel="00000000" w:rsidR="00000000" w:rsidRPr="00000000">
        <w:rPr>
          <w:rtl w:val="0"/>
        </w:rPr>
      </w:r>
    </w:p>
    <w:p w:rsidR="00000000" w:rsidDel="00000000" w:rsidP="00000000" w:rsidRDefault="00000000" w:rsidRPr="00000000" w14:paraId="00000046">
      <w:pPr>
        <w:tabs>
          <w:tab w:val="left" w:leader="none" w:pos="3971"/>
        </w:tabs>
        <w:jc w:val="both"/>
        <w:rPr>
          <w:sz w:val="28"/>
          <w:szCs w:val="28"/>
        </w:rPr>
      </w:pPr>
      <w:r w:rsidDel="00000000" w:rsidR="00000000" w:rsidRPr="00000000">
        <w:rPr>
          <w:rtl w:val="0"/>
        </w:rPr>
      </w:r>
    </w:p>
    <w:p w:rsidR="00000000" w:rsidDel="00000000" w:rsidP="00000000" w:rsidRDefault="00000000" w:rsidRPr="00000000" w14:paraId="00000047">
      <w:pPr>
        <w:pStyle w:val="Heading3"/>
        <w:jc w:val="both"/>
        <w:rPr>
          <w:color w:val="548ab7"/>
          <w:sz w:val="28"/>
          <w:szCs w:val="28"/>
          <w:u w:val="single"/>
        </w:rPr>
      </w:pPr>
      <w:r w:rsidDel="00000000" w:rsidR="00000000" w:rsidRPr="00000000">
        <w:rPr>
          <w:color w:val="548ab7"/>
          <w:sz w:val="28"/>
          <w:szCs w:val="28"/>
          <w:u w:val="single"/>
          <w:rtl w:val="0"/>
        </w:rPr>
        <w:t xml:space="preserve">1.2 O</w:t>
      </w:r>
      <w:r w:rsidDel="00000000" w:rsidR="00000000" w:rsidRPr="00000000">
        <w:rPr>
          <w:b w:val="0"/>
          <w:color w:val="548ab7"/>
          <w:sz w:val="28"/>
          <w:szCs w:val="28"/>
          <w:u w:val="single"/>
          <w:rtl w:val="0"/>
        </w:rPr>
        <w:t xml:space="preserve">bjectives: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primary aims of FoodConnect are: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register venues that donate leftover food and their drop-off points.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make task creation for food pickup and delivery automated.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properly allocate volunteers to every activity according to their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availability.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monitor the details of food pickups and deliveries correctly.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16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provide reports and dashboards to monitor operations and plan for the future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160" w:before="0" w:line="24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1"/>
        </w:tabs>
        <w:spacing w:after="16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tabs>
          <w:tab w:val="left" w:leader="none" w:pos="3971"/>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2">
      <w:pPr>
        <w:tabs>
          <w:tab w:val="left" w:leader="none" w:pos="3971"/>
        </w:tabs>
        <w:jc w:val="both"/>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2. Phase I: Requirement Analysis &amp; Planning</w:t>
      </w:r>
    </w:p>
    <w:p w:rsidR="00000000" w:rsidDel="00000000" w:rsidP="00000000" w:rsidRDefault="00000000" w:rsidRPr="00000000" w14:paraId="00000053">
      <w:pPr>
        <w:tabs>
          <w:tab w:val="left" w:leader="none" w:pos="3971"/>
        </w:tabs>
        <w:jc w:val="both"/>
        <w:rPr>
          <w:color w:val="548ab7"/>
          <w:sz w:val="28"/>
          <w:szCs w:val="28"/>
          <w:u w:val="single"/>
        </w:rPr>
      </w:pPr>
      <w:r w:rsidDel="00000000" w:rsidR="00000000" w:rsidRPr="00000000">
        <w:rPr>
          <w:color w:val="548ab7"/>
          <w:sz w:val="28"/>
          <w:szCs w:val="28"/>
          <w:u w:val="single"/>
          <w:rtl w:val="0"/>
        </w:rPr>
        <w:t xml:space="preserve">2.1 Understanding Business Requirements:</w:t>
      </w:r>
    </w:p>
    <w:p w:rsidR="00000000" w:rsidDel="00000000" w:rsidP="00000000" w:rsidRDefault="00000000" w:rsidRPr="00000000" w14:paraId="00000054">
      <w:pPr>
        <w:tabs>
          <w:tab w:val="left" w:leader="none" w:pos="3971"/>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FoodConnect meets these user requirements:</w:t>
      </w:r>
    </w:p>
    <w:p w:rsidR="00000000" w:rsidDel="00000000" w:rsidP="00000000" w:rsidRDefault="00000000" w:rsidRPr="00000000" w14:paraId="00000055">
      <w:pPr>
        <w:tabs>
          <w:tab w:val="left" w:leader="none" w:pos="3971"/>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Venues: Wish to register their excess food availability and drop-off locations with ease.</w:t>
      </w:r>
    </w:p>
    <w:p w:rsidR="00000000" w:rsidDel="00000000" w:rsidP="00000000" w:rsidRDefault="00000000" w:rsidRPr="00000000" w14:paraId="00000056">
      <w:pPr>
        <w:tabs>
          <w:tab w:val="left" w:leader="none" w:pos="3971"/>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Volunteers: Require precise task allocation with location and drop-off information.</w:t>
      </w:r>
    </w:p>
    <w:p w:rsidR="00000000" w:rsidDel="00000000" w:rsidP="00000000" w:rsidRDefault="00000000" w:rsidRPr="00000000" w14:paraId="00000057">
      <w:pPr>
        <w:tabs>
          <w:tab w:val="left" w:leader="none" w:pos="3971"/>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Needs real-time monitoring of every task and execution details for the management.</w:t>
      </w:r>
    </w:p>
    <w:p w:rsidR="00000000" w:rsidDel="00000000" w:rsidP="00000000" w:rsidRDefault="00000000" w:rsidRPr="00000000" w14:paraId="00000058">
      <w:pPr>
        <w:tabs>
          <w:tab w:val="left" w:leader="none" w:pos="3971"/>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Organisation: Requires operational information for open reporting and planning food distribution drives.</w:t>
      </w:r>
    </w:p>
    <w:p w:rsidR="00000000" w:rsidDel="00000000" w:rsidP="00000000" w:rsidRDefault="00000000" w:rsidRPr="00000000" w14:paraId="00000059">
      <w:pPr>
        <w:tabs>
          <w:tab w:val="left" w:leader="none" w:pos="3971"/>
        </w:tabs>
        <w:jc w:val="both"/>
        <w:rPr>
          <w:color w:val="548ab7"/>
          <w:sz w:val="28"/>
          <w:szCs w:val="28"/>
          <w:u w:val="single"/>
        </w:rPr>
      </w:pPr>
      <w:r w:rsidDel="00000000" w:rsidR="00000000" w:rsidRPr="00000000">
        <w:rPr>
          <w:color w:val="548ab7"/>
          <w:sz w:val="28"/>
          <w:szCs w:val="28"/>
          <w:u w:val="single"/>
          <w:rtl w:val="0"/>
        </w:rPr>
        <w:t xml:space="preserve">2.2 Defining Project Scope &amp; Objectives:</w:t>
      </w:r>
    </w:p>
    <w:p w:rsidR="00000000" w:rsidDel="00000000" w:rsidP="00000000" w:rsidRDefault="00000000" w:rsidRPr="00000000" w14:paraId="0000005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scope entails:</w:t>
      </w:r>
    </w:p>
    <w:p w:rsidR="00000000" w:rsidDel="00000000" w:rsidP="00000000" w:rsidRDefault="00000000" w:rsidRPr="00000000" w14:paraId="0000005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Developing custom objects of Venue, Drop-Off Point, Task, Volunteer, Execution Details</w:t>
      </w:r>
    </w:p>
    <w:p w:rsidR="00000000" w:rsidDel="00000000" w:rsidP="00000000" w:rsidRDefault="00000000" w:rsidRPr="00000000" w14:paraId="0000005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Automatically creating task record flows on venue food registration.</w:t>
      </w:r>
    </w:p>
    <w:p w:rsidR="00000000" w:rsidDel="00000000" w:rsidP="00000000" w:rsidRDefault="00000000" w:rsidRPr="00000000" w14:paraId="0000005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Adding triggers for status changes in execution details.</w:t>
      </w:r>
    </w:p>
    <w:p w:rsidR="00000000" w:rsidDel="00000000" w:rsidP="00000000" w:rsidRDefault="00000000" w:rsidRPr="00000000" w14:paraId="0000005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Developing reports and dashboards for task tracking and volunteer performance analysis.</w:t>
      </w:r>
    </w:p>
    <w:p w:rsidR="00000000" w:rsidDel="00000000" w:rsidP="00000000" w:rsidRDefault="00000000" w:rsidRPr="00000000" w14:paraId="0000005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Configuring security settings with profiles, roles, and sharing rules</w:t>
      </w:r>
    </w:p>
    <w:p w:rsidR="00000000" w:rsidDel="00000000" w:rsidP="00000000" w:rsidRDefault="00000000" w:rsidRPr="00000000" w14:paraId="00000060">
      <w:pPr>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2.3 Design Data Model &amp; Security Model:</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Model:</w:t>
      </w:r>
      <w:r w:rsidDel="00000000" w:rsidR="00000000" w:rsidRPr="00000000">
        <w:rPr>
          <w:rFonts w:ascii="Times New Roman" w:cs="Times New Roman" w:eastAsia="Times New Roman" w:hAnsi="Times New Roman"/>
          <w:sz w:val="28"/>
          <w:szCs w:val="28"/>
          <w:rtl w:val="0"/>
        </w:rPr>
        <w:t xml:space="preserve"> Custom objects are:</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Venue: Stores the donor venue information.</w:t>
      </w:r>
    </w:p>
    <w:p w:rsidR="00000000" w:rsidDel="00000000" w:rsidP="00000000" w:rsidRDefault="00000000" w:rsidRPr="00000000" w14:paraId="00000063">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Drop-Off Point: Stores delivery points for the distribution of food.</w:t>
      </w:r>
    </w:p>
    <w:p w:rsidR="00000000" w:rsidDel="00000000" w:rsidP="00000000" w:rsidRDefault="00000000" w:rsidRPr="00000000" w14:paraId="00000064">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Task: Symbolizes pickup and delivery tasks.</w:t>
      </w:r>
    </w:p>
    <w:p w:rsidR="00000000" w:rsidDel="00000000" w:rsidP="00000000" w:rsidRDefault="00000000" w:rsidRPr="00000000" w14:paraId="00000065">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•Volunteer: Stores volunteer information and availability.</w:t>
      </w:r>
    </w:p>
    <w:p w:rsidR="00000000" w:rsidDel="00000000" w:rsidP="00000000" w:rsidRDefault="00000000" w:rsidRPr="00000000" w14:paraId="00000066">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Execution Details: Stores Details about the Volunteer and which task he is volunteering for.</w:t>
      </w:r>
      <w:r w:rsidDel="00000000" w:rsidR="00000000" w:rsidRPr="00000000">
        <w:rPr>
          <w:rFonts w:ascii="Times New Roman" w:cs="Times New Roman" w:eastAsia="Times New Roman" w:hAnsi="Times New Roman"/>
          <w:color w:val="548ab7"/>
          <w:sz w:val="28"/>
          <w:szCs w:val="28"/>
          <w:u w:val="single"/>
          <w:rtl w:val="0"/>
        </w:rPr>
        <w:t xml:space="preserve">           </w:t>
      </w:r>
      <w:r w:rsidDel="00000000" w:rsidR="00000000" w:rsidRPr="00000000">
        <w:rPr>
          <w:rtl w:val="0"/>
        </w:rPr>
      </w:r>
    </w:p>
    <w:p w:rsidR="00000000" w:rsidDel="00000000" w:rsidP="00000000" w:rsidRDefault="00000000" w:rsidRPr="00000000" w14:paraId="00000067">
      <w:pPr>
        <w:spacing w:after="280" w:before="28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4b6d2"/>
          <w:sz w:val="28"/>
          <w:szCs w:val="28"/>
          <w:u w:val="single"/>
        </w:rPr>
        <w:drawing>
          <wp:inline distB="0" distT="0" distL="0" distR="0">
            <wp:extent cx="6367463" cy="2705100"/>
            <wp:effectExtent b="0" l="0" r="0" t="0"/>
            <wp:docPr id="3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6746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Security Model: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FoodConnect, an NGO's Profile was implemented to provide access to volunteers and coordinators belonging to various NGOs. Coordinators can manage volunteers and view all their records, whereas volunteers can view only their allocated data.</w:t>
      </w:r>
    </w:p>
    <w:p w:rsidR="00000000" w:rsidDel="00000000" w:rsidP="00000000" w:rsidRDefault="00000000" w:rsidRPr="00000000" w14:paraId="0000006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Sharing rules were established for the Drop-off Point object by distance:</w:t>
      </w:r>
    </w:p>
    <w:p w:rsidR="00000000" w:rsidDel="00000000" w:rsidP="00000000" w:rsidRDefault="00000000" w:rsidRPr="00000000" w14:paraId="0000006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distance is less than 15 km, the records are shared with the Iksha group.</w:t>
      </w:r>
    </w:p>
    <w:p w:rsidR="00000000" w:rsidDel="00000000" w:rsidP="00000000" w:rsidRDefault="00000000" w:rsidRPr="00000000" w14:paraId="0000006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distance is between 15 km and 30 km, records are exchanged with the NSS group.</w:t>
      </w:r>
    </w:p>
    <w:p w:rsidR="00000000" w:rsidDel="00000000" w:rsidP="00000000" w:rsidRDefault="00000000" w:rsidRPr="00000000" w14:paraId="0000006C">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distance is between 30 km and 50 km, records are exchanged with the Street Cause group.</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5136"/>
        </w:tabs>
        <w:spacing w:after="160" w:before="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arrangement ensures that the volunteers can view only drop-off points close to them, enhancing data security and allowing them to work more efficiently.</w:t>
      </w:r>
    </w:p>
    <w:p w:rsidR="00000000" w:rsidDel="00000000" w:rsidP="00000000" w:rsidRDefault="00000000" w:rsidRPr="00000000" w14:paraId="0000006E">
      <w:pPr>
        <w:tabs>
          <w:tab w:val="left" w:leader="none" w:pos="5136"/>
        </w:tabs>
        <w:spacing w:line="240" w:lineRule="auto"/>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6F">
      <w:pPr>
        <w:tabs>
          <w:tab w:val="left" w:leader="none" w:pos="5136"/>
        </w:tabs>
        <w:spacing w:line="240" w:lineRule="auto"/>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70">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tl w:val="0"/>
        </w:rPr>
      </w:r>
    </w:p>
    <w:p w:rsidR="00000000" w:rsidDel="00000000" w:rsidP="00000000" w:rsidRDefault="00000000" w:rsidRPr="00000000" w14:paraId="00000071">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94b6d2"/>
          <w:sz w:val="28"/>
          <w:szCs w:val="28"/>
          <w:u w:val="single"/>
        </w:rPr>
        <w:drawing>
          <wp:inline distB="0" distT="0" distL="0" distR="0">
            <wp:extent cx="5719763" cy="2543175"/>
            <wp:effectExtent b="0" l="0" r="0" t="0"/>
            <wp:docPr id="3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19763" cy="2543175"/>
                    </a:xfrm>
                    <a:prstGeom prst="rect"/>
                    <a:ln/>
                  </pic:spPr>
                </pic:pic>
              </a:graphicData>
            </a:graphic>
          </wp:inline>
        </w:drawing>
      </w:r>
      <w:r w:rsidDel="00000000" w:rsidR="00000000" w:rsidRPr="00000000">
        <w:rPr>
          <w:rFonts w:ascii="Times New Roman" w:cs="Times New Roman" w:eastAsia="Times New Roman" w:hAnsi="Times New Roman"/>
          <w:color w:val="548ab7"/>
          <w:sz w:val="28"/>
          <w:szCs w:val="28"/>
          <w:u w:val="single"/>
          <w:rtl w:val="0"/>
        </w:rPr>
        <w:t xml:space="preserve">    </w:t>
      </w:r>
    </w:p>
    <w:p w:rsidR="00000000" w:rsidDel="00000000" w:rsidP="00000000" w:rsidRDefault="00000000" w:rsidRPr="00000000" w14:paraId="00000072">
      <w:pPr>
        <w:tabs>
          <w:tab w:val="left" w:leader="none" w:pos="5136"/>
        </w:tabs>
        <w:jc w:val="both"/>
        <w:rPr>
          <w:rFonts w:ascii="Times New Roman" w:cs="Times New Roman" w:eastAsia="Times New Roman" w:hAnsi="Times New Roman"/>
          <w:color w:val="94b6d2"/>
          <w:sz w:val="28"/>
          <w:szCs w:val="28"/>
          <w:u w:val="single"/>
        </w:rPr>
      </w:pPr>
      <w:r w:rsidDel="00000000" w:rsidR="00000000" w:rsidRPr="00000000">
        <w:rPr>
          <w:rFonts w:ascii="Times New Roman" w:cs="Times New Roman" w:eastAsia="Times New Roman" w:hAnsi="Times New Roman"/>
          <w:color w:val="94b6d2"/>
          <w:sz w:val="28"/>
          <w:szCs w:val="28"/>
          <w:u w:val="single"/>
          <w:rtl w:val="0"/>
        </w:rPr>
        <w:t xml:space="preserve">       </w:t>
      </w:r>
      <w:r w:rsidDel="00000000" w:rsidR="00000000" w:rsidRPr="00000000">
        <w:rPr>
          <w:rFonts w:ascii="Times New Roman" w:cs="Times New Roman" w:eastAsia="Times New Roman" w:hAnsi="Times New Roman"/>
          <w:color w:val="94b6d2"/>
          <w:sz w:val="28"/>
          <w:szCs w:val="28"/>
          <w:u w:val="single"/>
        </w:rPr>
        <w:drawing>
          <wp:inline distB="0" distT="0" distL="0" distR="0">
            <wp:extent cx="5495925" cy="2985415"/>
            <wp:effectExtent b="0" l="0" r="0" t="0"/>
            <wp:docPr id="4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95925" cy="298541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tabs>
          <w:tab w:val="left" w:leader="none" w:pos="5136"/>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tabs>
          <w:tab w:val="left" w:leader="none" w:pos="5136"/>
        </w:tabs>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 3. Phase II: Salesforce Development– Backend &amp; Configurations</w:t>
      </w:r>
    </w:p>
    <w:p w:rsidR="00000000" w:rsidDel="00000000" w:rsidP="00000000" w:rsidRDefault="00000000" w:rsidRPr="00000000" w14:paraId="0000007B">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3.1 Set Environment:</w:t>
      </w:r>
    </w:p>
    <w:p w:rsidR="00000000" w:rsidDel="00000000" w:rsidP="00000000" w:rsidRDefault="00000000" w:rsidRPr="00000000" w14:paraId="000000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 Salesforce Developer Org for FoodConnect implementation.</w:t>
      </w:r>
    </w:p>
    <w:p w:rsidR="00000000" w:rsidDel="00000000" w:rsidP="00000000" w:rsidRDefault="00000000" w:rsidRPr="00000000" w14:paraId="0000007D">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 </w:t>
      </w:r>
      <w:r w:rsidDel="00000000" w:rsidR="00000000" w:rsidRPr="00000000">
        <w:rPr>
          <w:rFonts w:ascii="Times New Roman" w:cs="Times New Roman" w:eastAsia="Times New Roman" w:hAnsi="Times New Roman"/>
          <w:color w:val="94b6d2"/>
          <w:sz w:val="28"/>
          <w:szCs w:val="28"/>
          <w:u w:val="single"/>
        </w:rPr>
        <w:drawing>
          <wp:inline distB="0" distT="0" distL="0" distR="0">
            <wp:extent cx="5924521" cy="2488427"/>
            <wp:effectExtent b="0" l="0" r="0" t="0"/>
            <wp:docPr id="4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24521" cy="248842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3.2 Customization of Objects and Fields:</w:t>
      </w:r>
    </w:p>
    <w:p w:rsidR="00000000" w:rsidDel="00000000" w:rsidP="00000000" w:rsidRDefault="00000000" w:rsidRPr="00000000" w14:paraId="000000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Objects Created:</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Venue: Contact Email, Contact Phone, Location, Venue Location, Venue Name.</w:t>
      </w:r>
    </w:p>
    <w:p w:rsidR="00000000" w:rsidDel="00000000" w:rsidP="00000000" w:rsidRDefault="00000000" w:rsidRPr="00000000" w14:paraId="0000008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Drop-Off Point: Distance, distance calculation, Drop-Off Point Name, Location 2, State, Venue__c.</w:t>
      </w:r>
    </w:p>
    <w:p w:rsidR="00000000" w:rsidDel="00000000" w:rsidP="00000000" w:rsidRDefault="00000000" w:rsidRPr="00000000" w14:paraId="0000008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Task: Name of the Person, Food Category, Feedback, Number of People Served, Phone, Rating, Task ID, Task Name.</w:t>
      </w:r>
    </w:p>
    <w:p w:rsidR="00000000" w:rsidDel="00000000" w:rsidP="00000000" w:rsidRDefault="00000000" w:rsidRPr="00000000" w14:paraId="0000008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Volunteer: Address, Age, Available On, Contact Number, Date of Birth, Email, Execution ID, Gender, Owner Name, Volunteer ID, Volunteer Name.</w:t>
      </w:r>
    </w:p>
    <w:p w:rsidR="00000000" w:rsidDel="00000000" w:rsidP="00000000" w:rsidRDefault="00000000" w:rsidRPr="00000000" w14:paraId="0000008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Execution Details: Execution Detail Name, Task, Volunteer.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Created fields for each object to support business logic.</w:t>
      </w:r>
    </w:p>
    <w:p w:rsidR="00000000" w:rsidDel="00000000" w:rsidP="00000000" w:rsidRDefault="00000000" w:rsidRPr="00000000" w14:paraId="00000087">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94b6d2"/>
          <w:sz w:val="28"/>
          <w:szCs w:val="28"/>
          <w:u w:val="single"/>
        </w:rPr>
        <w:drawing>
          <wp:inline distB="0" distT="0" distL="0" distR="0">
            <wp:extent cx="6076950" cy="2548255"/>
            <wp:effectExtent b="0" l="0" r="0" t="0"/>
            <wp:docPr id="4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076950" cy="254825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5136"/>
        </w:tabs>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3.3 Automation (Flows and Process Builder):</w:t>
      </w:r>
    </w:p>
    <w:p w:rsidR="00000000" w:rsidDel="00000000" w:rsidP="00000000" w:rsidRDefault="00000000" w:rsidRPr="00000000" w14:paraId="0000008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360" w:right="0" w:hanging="360"/>
        <w:jc w:val="both"/>
        <w:rPr>
          <w:rFonts w:ascii="Times New Roman" w:cs="Times New Roman" w:eastAsia="Times New Roman" w:hAnsi="Times New Roman"/>
          <w:b w:val="0"/>
          <w:i w:val="0"/>
          <w:smallCaps w:val="0"/>
          <w:strike w:val="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Flows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720" w:right="0" w:firstLine="0"/>
        <w:jc w:val="both"/>
        <w:rPr>
          <w:rFonts w:ascii="Times New Roman" w:cs="Times New Roman" w:eastAsia="Times New Roman" w:hAnsi="Times New Roman"/>
          <w:b w:val="0"/>
          <w:i w:val="0"/>
          <w:smallCaps w:val="0"/>
          <w:strike w:val="0"/>
          <w:color w:val="548ab7"/>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Venue Flow:</w:t>
      </w:r>
      <w:r w:rsidDel="00000000" w:rsidR="00000000" w:rsidRPr="00000000">
        <w:rPr>
          <w:rtl w:val="0"/>
        </w:rPr>
      </w:r>
    </w:p>
    <w:p w:rsidR="00000000" w:rsidDel="00000000" w:rsidP="00000000" w:rsidRDefault="00000000" w:rsidRPr="00000000" w14:paraId="0000008B">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flow was established to automatically create corresponding Task records whenever a new Venue record is created. This ensures that each newly created venue has an assigned pickup task for further processing by default.</w:t>
      </w:r>
    </w:p>
    <w:p w:rsidR="00000000" w:rsidDel="00000000" w:rsidP="00000000" w:rsidRDefault="00000000" w:rsidRPr="00000000" w14:paraId="0000008C">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5967092" cy="2246554"/>
            <wp:effectExtent b="0" l="0" r="0" t="0"/>
            <wp:docPr id="4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67092" cy="224655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5136"/>
        </w:tabs>
        <w:spacing w:after="0" w:before="0" w:line="276" w:lineRule="auto"/>
        <w:ind w:left="36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w:t>
      </w:r>
    </w:p>
    <w:p w:rsidR="00000000" w:rsidDel="00000000" w:rsidP="00000000" w:rsidRDefault="00000000" w:rsidRPr="00000000" w14:paraId="000000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5136"/>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Drop-off Trigger:</w:t>
      </w:r>
    </w:p>
    <w:p w:rsidR="00000000" w:rsidDel="00000000" w:rsidP="00000000" w:rsidRDefault="00000000" w:rsidRPr="00000000" w14:paraId="00000090">
      <w:pPr>
        <w:tabs>
          <w:tab w:val="left" w:leader="none" w:pos="5136"/>
        </w:tabs>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automation was created on the Drop-off Point object to change the associated Task status to 'Ready for Delivery' every time a new Drop-off Point record is inserted. This simplifies the workflow by making tasks ready as soon as drop-off information is entered.</w:t>
      </w:r>
    </w:p>
    <w:p w:rsidR="00000000" w:rsidDel="00000000" w:rsidP="00000000" w:rsidRDefault="00000000" w:rsidRPr="00000000" w14:paraId="00000091">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4992853" cy="2300126"/>
            <wp:effectExtent b="0" l="0" r="0" t="0"/>
            <wp:docPr id="4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92853" cy="23001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9">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1">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tabs>
          <w:tab w:val="left" w:leader="none" w:pos="5136"/>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tabs>
          <w:tab w:val="left" w:leader="none" w:pos="5136"/>
        </w:tabs>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4. Phase III: UI/UX Development &amp; Customisation:</w:t>
      </w:r>
    </w:p>
    <w:p w:rsidR="00000000" w:rsidDel="00000000" w:rsidP="00000000" w:rsidRDefault="00000000" w:rsidRPr="00000000" w14:paraId="000000A4">
      <w:pPr>
        <w:tabs>
          <w:tab w:val="left" w:leader="none" w:pos="5136"/>
        </w:tabs>
        <w:spacing w:line="240" w:lineRule="auto"/>
        <w:jc w:val="both"/>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4.1 Lightning App Setup:</w:t>
      </w:r>
    </w:p>
    <w:p w:rsidR="00000000" w:rsidDel="00000000" w:rsidP="00000000" w:rsidRDefault="00000000" w:rsidRPr="00000000" w14:paraId="000000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 Lightning App “FoodConnect” created with tabs for Venue, Drop-Off Point, Task, Volunteer,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Execution Details.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50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160" w:before="0" w:line="240" w:lineRule="auto"/>
        <w:ind w:left="50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42248" cy="2478847"/>
            <wp:effectExtent b="0" l="0" r="0" t="0"/>
            <wp:docPr id="4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142248" cy="24788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5136"/>
        </w:tabs>
        <w:spacing w:line="240" w:lineRule="auto"/>
        <w:jc w:val="both"/>
        <w:rPr>
          <w:rFonts w:ascii="Open Sans" w:cs="Open Sans" w:eastAsia="Open Sans" w:hAnsi="Open Sans"/>
          <w:color w:val="548ab7"/>
          <w:sz w:val="28"/>
          <w:szCs w:val="28"/>
          <w:highlight w:val="white"/>
          <w:u w:val="single"/>
        </w:rPr>
      </w:pPr>
      <w:r w:rsidDel="00000000" w:rsidR="00000000" w:rsidRPr="00000000">
        <w:rPr>
          <w:rFonts w:ascii="Open Sans" w:cs="Open Sans" w:eastAsia="Open Sans" w:hAnsi="Open Sans"/>
          <w:color w:val="548ab7"/>
          <w:sz w:val="28"/>
          <w:szCs w:val="28"/>
          <w:highlight w:val="white"/>
          <w:u w:val="single"/>
          <w:rtl w:val="0"/>
        </w:rPr>
        <w:t xml:space="preserve">4.2 Page Layouts and Dynamic Forms: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502" w:right="0" w:firstLine="0"/>
        <w:jc w:val="both"/>
        <w:rPr>
          <w:rFonts w:ascii="Open Sans" w:cs="Open Sans" w:eastAsia="Open Sans" w:hAnsi="Open Sans"/>
          <w:b w:val="0"/>
          <w:i w:val="0"/>
          <w:smallCaps w:val="0"/>
          <w:strike w:val="0"/>
          <w:color w:val="548ab7"/>
          <w:sz w:val="28"/>
          <w:szCs w:val="28"/>
          <w:highlight w:val="white"/>
          <w:u w:val="single"/>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up page layouts for every object to show the important information to view and edit easily.</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50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0" w:before="0" w:line="240" w:lineRule="auto"/>
        <w:ind w:left="50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Pr>
        <w:drawing>
          <wp:inline distB="0" distT="0" distL="0" distR="0">
            <wp:extent cx="5463540" cy="2202180"/>
            <wp:effectExtent b="0" l="0" r="0" t="0"/>
            <wp:docPr id="4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63540" cy="22021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36"/>
        </w:tabs>
        <w:spacing w:after="160" w:before="0" w:line="240" w:lineRule="auto"/>
        <w:ind w:left="50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548ab7"/>
          <w:sz w:val="28"/>
          <w:szCs w:val="28"/>
          <w:u w:val="singl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 </w:t>
      </w:r>
    </w:p>
    <w:p w:rsidR="00000000" w:rsidDel="00000000" w:rsidP="00000000" w:rsidRDefault="00000000" w:rsidRPr="00000000" w14:paraId="000000B0">
      <w:pPr>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4.3 Tabs:</w:t>
      </w:r>
    </w:p>
    <w:p w:rsidR="00000000" w:rsidDel="00000000" w:rsidP="00000000" w:rsidRDefault="00000000" w:rsidRPr="00000000" w14:paraId="000000B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00" w:lineRule="auto"/>
        <w:ind w:left="502"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Tabs are designed for all five custom objects of the FoodConnect app for easy access.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5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55920" cy="2476500"/>
            <wp:effectExtent b="0" l="0" r="0" t="0"/>
            <wp:docPr id="4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559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5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5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5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0" w:lineRule="auto"/>
        <w:ind w:left="5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rPr>
          <w:rFonts w:ascii="Open Sans" w:cs="Open Sans" w:eastAsia="Open Sans" w:hAnsi="Open Sans"/>
          <w:color w:val="548ab7"/>
          <w:sz w:val="28"/>
          <w:szCs w:val="28"/>
          <w:highlight w:val="white"/>
          <w:u w:val="single"/>
        </w:rPr>
      </w:pPr>
      <w:r w:rsidDel="00000000" w:rsidR="00000000" w:rsidRPr="00000000">
        <w:rPr>
          <w:rFonts w:ascii="Open Sans" w:cs="Open Sans" w:eastAsia="Open Sans" w:hAnsi="Open Sans"/>
          <w:color w:val="548ab7"/>
          <w:sz w:val="28"/>
          <w:szCs w:val="28"/>
          <w:highlight w:val="white"/>
          <w:u w:val="single"/>
          <w:rtl w:val="0"/>
        </w:rPr>
        <w:t xml:space="preserve">4.4 User Management:</w:t>
      </w:r>
    </w:p>
    <w:p w:rsidR="00000000" w:rsidDel="00000000" w:rsidP="00000000" w:rsidRDefault="00000000" w:rsidRPr="00000000" w14:paraId="000000B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00" w:lineRule="auto"/>
        <w:ind w:left="502"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created with profiles: System Administration, NGO’s Profile.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0" w:lineRule="auto"/>
        <w:ind w:left="5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81319" cy="2675578"/>
            <wp:effectExtent b="0" l="0" r="0" t="0"/>
            <wp:docPr id="4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81319" cy="267557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548ab7"/>
          <w:sz w:val="28"/>
          <w:szCs w:val="28"/>
          <w:u w:val="single"/>
        </w:rPr>
      </w:pPr>
      <w:r w:rsidDel="00000000" w:rsidR="00000000" w:rsidRPr="00000000">
        <w:rPr>
          <w:rFonts w:ascii="Times New Roman" w:cs="Times New Roman" w:eastAsia="Times New Roman" w:hAnsi="Times New Roman"/>
          <w:color w:val="548ab7"/>
          <w:sz w:val="28"/>
          <w:szCs w:val="28"/>
          <w:u w:val="single"/>
          <w:rtl w:val="0"/>
        </w:rPr>
        <w:t xml:space="preserve">4.5 Reports and Dashboards:</w:t>
      </w:r>
    </w:p>
    <w:p w:rsidR="00000000" w:rsidDel="00000000" w:rsidP="00000000" w:rsidRDefault="00000000" w:rsidRPr="00000000" w14:paraId="000000B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00" w:lineRule="auto"/>
        <w:ind w:left="502"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Reports:</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222" w:right="0" w:hanging="360"/>
        <w:jc w:val="left"/>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venue and drop-off point</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00" w:lineRule="auto"/>
        <w:ind w:left="1222"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Volunteer Task</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27966" cy="2408051"/>
            <wp:effectExtent b="0" l="0" r="0" t="0"/>
            <wp:docPr id="4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027966" cy="240805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Open Sans" w:cs="Open Sans" w:eastAsia="Open Sans" w:hAnsi="Open Sans"/>
          <w:b w:val="0"/>
          <w:i w:val="0"/>
          <w:smallCaps w:val="0"/>
          <w:strike w:val="0"/>
          <w:color w:val="191919"/>
          <w:sz w:val="28"/>
          <w:szCs w:val="28"/>
          <w:highlight w:val="white"/>
          <w:vertAlign w:val="baseline"/>
        </w:rPr>
      </w:pPr>
      <w:r w:rsidDel="00000000" w:rsidR="00000000" w:rsidRPr="00000000">
        <w:rPr>
          <w:rFonts w:ascii="Open Sans" w:cs="Open Sans" w:eastAsia="Open Sans" w:hAnsi="Open Sans"/>
          <w:b w:val="0"/>
          <w:i w:val="0"/>
          <w:smallCaps w:val="0"/>
          <w:strike w:val="0"/>
          <w:color w:val="191919"/>
          <w:sz w:val="28"/>
          <w:szCs w:val="28"/>
          <w:highlight w:val="white"/>
          <w:u w:val="none"/>
          <w:vertAlign w:val="baseline"/>
          <w:rtl w:val="0"/>
        </w:rPr>
        <w:t xml:space="preserve">Dashboards: </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1656" w:right="0" w:hanging="360"/>
        <w:jc w:val="left"/>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Operations dashboard with overall tasks, done tasks, outstanding tasks, and volunteer utilization statistics.</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1656" w:right="0" w:hanging="360"/>
        <w:jc w:val="left"/>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Task Execution Details.</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00" w:lineRule="auto"/>
        <w:ind w:left="1656" w:right="0" w:hanging="360"/>
        <w:jc w:val="left"/>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Organization Details</w:t>
      </w:r>
    </w:p>
    <w:p w:rsidR="00000000" w:rsidDel="00000000" w:rsidP="00000000" w:rsidRDefault="00000000" w:rsidRPr="00000000" w14:paraId="000000C6">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w:t>
      </w:r>
      <w:r w:rsidDel="00000000" w:rsidR="00000000" w:rsidRPr="00000000">
        <w:rPr>
          <w:rFonts w:ascii="Open Sans" w:cs="Open Sans" w:eastAsia="Open Sans" w:hAnsi="Open Sans"/>
          <w:sz w:val="28"/>
          <w:szCs w:val="28"/>
          <w:highlight w:val="white"/>
        </w:rPr>
        <w:drawing>
          <wp:inline distB="0" distT="0" distL="0" distR="0">
            <wp:extent cx="5626503" cy="2186882"/>
            <wp:effectExtent b="0" l="0" r="0" t="0"/>
            <wp:docPr id="5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26503" cy="218688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vertAlign w:val="baseline"/>
          <w:rtl w:val="0"/>
        </w:rPr>
        <w:t xml:space="preserve">Lightning Page:</w:t>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00" w:lineRule="auto"/>
        <w:ind w:left="180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Configured record pages for objects with related lists and dynamic forms for a better user experience.</w:t>
      </w:r>
    </w:p>
    <w:p w:rsidR="00000000" w:rsidDel="00000000" w:rsidP="00000000" w:rsidRDefault="00000000" w:rsidRPr="00000000" w14:paraId="000000CA">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Pr>
        <w:drawing>
          <wp:inline distB="0" distT="0" distL="0" distR="0">
            <wp:extent cx="2859660" cy="2193479"/>
            <wp:effectExtent b="0" l="0" r="0" t="0"/>
            <wp:docPr id="5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859660" cy="2193479"/>
                    </a:xfrm>
                    <a:prstGeom prst="rect"/>
                    <a:ln/>
                  </pic:spPr>
                </pic:pic>
              </a:graphicData>
            </a:graphic>
          </wp:inline>
        </w:drawing>
      </w:r>
      <w:r w:rsidDel="00000000" w:rsidR="00000000" w:rsidRPr="00000000">
        <w:rPr>
          <w:rFonts w:ascii="Open Sans" w:cs="Open Sans" w:eastAsia="Open Sans" w:hAnsi="Open Sans"/>
          <w:sz w:val="28"/>
          <w:szCs w:val="28"/>
          <w:highlight w:val="white"/>
          <w:rtl w:val="0"/>
        </w:rPr>
        <w:t xml:space="preserve">      </w:t>
      </w:r>
      <w:r w:rsidDel="00000000" w:rsidR="00000000" w:rsidRPr="00000000">
        <w:rPr>
          <w:rFonts w:ascii="Open Sans" w:cs="Open Sans" w:eastAsia="Open Sans" w:hAnsi="Open Sans"/>
          <w:sz w:val="28"/>
          <w:szCs w:val="28"/>
          <w:highlight w:val="white"/>
        </w:rPr>
        <w:drawing>
          <wp:inline distB="0" distT="0" distL="0" distR="0">
            <wp:extent cx="2690813" cy="2133600"/>
            <wp:effectExtent b="0" l="0" r="0" t="0"/>
            <wp:docPr id="3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690813" cy="2133600"/>
                    </a:xfrm>
                    <a:prstGeom prst="rect"/>
                    <a:ln/>
                  </pic:spPr>
                </pic:pic>
              </a:graphicData>
            </a:graphic>
          </wp:inline>
        </w:drawing>
      </w:r>
      <w:r w:rsidDel="00000000" w:rsidR="00000000" w:rsidRPr="00000000">
        <w:rPr>
          <w:rFonts w:ascii="Open Sans" w:cs="Open Sans" w:eastAsia="Open Sans" w:hAnsi="Open Sans"/>
          <w:sz w:val="28"/>
          <w:szCs w:val="28"/>
          <w:highlight w:val="white"/>
          <w:rtl w:val="0"/>
        </w:rPr>
        <w:t xml:space="preserve">      </w:t>
      </w:r>
    </w:p>
    <w:p w:rsidR="00000000" w:rsidDel="00000000" w:rsidP="00000000" w:rsidRDefault="00000000" w:rsidRPr="00000000" w14:paraId="000000CB">
      <w:pPr>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CC">
      <w:pPr>
        <w:jc w:val="both"/>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w:t>
      </w:r>
    </w:p>
    <w:p w:rsidR="00000000" w:rsidDel="00000000" w:rsidP="00000000" w:rsidRDefault="00000000" w:rsidRPr="00000000" w14:paraId="000000CD">
      <w:pPr>
        <w:jc w:val="both"/>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w:t>
      </w:r>
    </w:p>
    <w:p w:rsidR="00000000" w:rsidDel="00000000" w:rsidP="00000000" w:rsidRDefault="00000000" w:rsidRPr="00000000" w14:paraId="000000CE">
      <w:pPr>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CF">
      <w:pPr>
        <w:jc w:val="both"/>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w:t>
      </w:r>
    </w:p>
    <w:p w:rsidR="00000000" w:rsidDel="00000000" w:rsidP="00000000" w:rsidRDefault="00000000" w:rsidRPr="00000000" w14:paraId="000000D0">
      <w:pPr>
        <w:jc w:val="both"/>
        <w:rPr>
          <w:rFonts w:ascii="Open Sans" w:cs="Open Sans" w:eastAsia="Open Sans" w:hAnsi="Open Sans"/>
          <w:sz w:val="28"/>
          <w:szCs w:val="28"/>
          <w:highlight w:val="white"/>
          <w:u w:val="single"/>
        </w:rPr>
      </w:pPr>
      <w:r w:rsidDel="00000000" w:rsidR="00000000" w:rsidRPr="00000000">
        <w:rPr>
          <w:rFonts w:ascii="Open Sans" w:cs="Open Sans" w:eastAsia="Open Sans" w:hAnsi="Open Sans"/>
          <w:sz w:val="28"/>
          <w:szCs w:val="28"/>
          <w:highlight w:val="white"/>
          <w:rtl w:val="0"/>
        </w:rPr>
        <w:t xml:space="preserve">                             </w:t>
      </w:r>
      <w:r w:rsidDel="00000000" w:rsidR="00000000" w:rsidRPr="00000000">
        <w:rPr>
          <w:rFonts w:ascii="Open Sans" w:cs="Open Sans" w:eastAsia="Open Sans" w:hAnsi="Open Sans"/>
          <w:sz w:val="28"/>
          <w:szCs w:val="28"/>
          <w:highlight w:val="white"/>
          <w:u w:val="single"/>
          <w:rtl w:val="0"/>
        </w:rPr>
        <w:t xml:space="preserve">5. Phase IV: Data Migration &amp; Security</w:t>
      </w:r>
    </w:p>
    <w:p w:rsidR="00000000" w:rsidDel="00000000" w:rsidP="00000000" w:rsidRDefault="00000000" w:rsidRPr="00000000" w14:paraId="000000D1">
      <w:pPr>
        <w:jc w:val="both"/>
        <w:rPr>
          <w:rFonts w:ascii="Open Sans" w:cs="Open Sans" w:eastAsia="Open Sans" w:hAnsi="Open Sans"/>
          <w:color w:val="548ab7"/>
          <w:sz w:val="28"/>
          <w:szCs w:val="28"/>
          <w:highlight w:val="white"/>
          <w:u w:val="single"/>
        </w:rPr>
      </w:pPr>
      <w:r w:rsidDel="00000000" w:rsidR="00000000" w:rsidRPr="00000000">
        <w:rPr>
          <w:rFonts w:ascii="Open Sans" w:cs="Open Sans" w:eastAsia="Open Sans" w:hAnsi="Open Sans"/>
          <w:color w:val="548ab7"/>
          <w:sz w:val="28"/>
          <w:szCs w:val="28"/>
          <w:highlight w:val="white"/>
          <w:u w:val="single"/>
          <w:rtl w:val="0"/>
        </w:rPr>
        <w:t xml:space="preserve">5.1 Data Loading:</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 the FoodConnect project, data migration was performed via the Salesforce Data Import Wizard.</w:t>
      </w:r>
    </w:p>
    <w:p w:rsidR="00000000" w:rsidDel="00000000" w:rsidP="00000000" w:rsidRDefault="00000000" w:rsidRPr="00000000" w14:paraId="000000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An Excel spreadsheet was set up with fields like Venue Name, Contact Email, Contact Phone, Location, Latitude, Longitude, and Venue Location for the Venue object.</w:t>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data was imported into Salesforce to easily create multiple Venue records.</w:t>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00" w:lineRule="auto"/>
        <w:ind w:left="720"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Utilizing the Data Import Wizard facilitated fast uploading of bulk data, having the system prepared with sample records for testing flows, triggers, and reports.</w:t>
      </w:r>
    </w:p>
    <w:p w:rsidR="00000000" w:rsidDel="00000000" w:rsidP="00000000" w:rsidRDefault="00000000" w:rsidRPr="00000000" w14:paraId="000000D6">
      <w:pPr>
        <w:jc w:val="both"/>
        <w:rPr>
          <w:rFonts w:ascii="Times New Roman" w:cs="Times New Roman" w:eastAsia="Times New Roman" w:hAnsi="Times New Roman"/>
          <w:sz w:val="28"/>
          <w:szCs w:val="28"/>
          <w:highlight w:val="white"/>
        </w:rPr>
      </w:pPr>
      <w:r w:rsidDel="00000000" w:rsidR="00000000" w:rsidRPr="00000000">
        <w:rPr>
          <w:sz w:val="28"/>
          <w:szCs w:val="28"/>
          <w:highlight w:val="white"/>
        </w:rPr>
        <w:drawing>
          <wp:inline distB="0" distT="0" distL="0" distR="0">
            <wp:extent cx="5481638" cy="2428875"/>
            <wp:effectExtent b="0" l="0" r="0" t="0"/>
            <wp:docPr id="5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481638" cy="2428875"/>
                    </a:xfrm>
                    <a:prstGeom prst="rect"/>
                    <a:ln/>
                  </pic:spPr>
                </pic:pic>
              </a:graphicData>
            </a:graphic>
          </wp:inline>
        </w:drawing>
      </w:r>
      <w:r w:rsidDel="00000000" w:rsidR="00000000" w:rsidRPr="00000000">
        <w:rPr>
          <w:sz w:val="28"/>
          <w:szCs w:val="28"/>
          <w:highlight w:val="white"/>
          <w:rtl w:val="0"/>
        </w:rPr>
        <w:t xml:space="preserve">       </w:t>
      </w:r>
      <w:r w:rsidDel="00000000" w:rsidR="00000000" w:rsidRPr="00000000">
        <w:rPr>
          <w:sz w:val="28"/>
          <w:szCs w:val="28"/>
          <w:highlight w:val="white"/>
        </w:rPr>
        <w:drawing>
          <wp:inline distB="0" distT="0" distL="0" distR="0">
            <wp:extent cx="5405438" cy="1905000"/>
            <wp:effectExtent b="0" l="0" r="0" t="0"/>
            <wp:docPr id="3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05438"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0" distT="0" distL="0" distR="0">
            <wp:extent cx="5962650" cy="2928894"/>
            <wp:effectExtent b="0" l="0" r="0" t="0"/>
            <wp:docPr id="5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62650" cy="2928894"/>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D9">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0" distT="0" distL="0" distR="0">
            <wp:extent cx="5991225" cy="2323492"/>
            <wp:effectExtent b="0" l="0" r="0" t="0"/>
            <wp:docPr id="3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91225" cy="232349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0" w:lineRule="auto"/>
        <w:ind w:left="72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DC">
      <w:pPr>
        <w:jc w:val="both"/>
        <w:rPr>
          <w:rFonts w:ascii="Open Sans" w:cs="Open Sans" w:eastAsia="Open Sans" w:hAnsi="Open Sans"/>
          <w:color w:val="548ab7"/>
          <w:sz w:val="28"/>
          <w:szCs w:val="28"/>
          <w:highlight w:val="white"/>
          <w:u w:val="single"/>
        </w:rPr>
      </w:pPr>
      <w:r w:rsidDel="00000000" w:rsidR="00000000" w:rsidRPr="00000000">
        <w:rPr>
          <w:rFonts w:ascii="Open Sans" w:cs="Open Sans" w:eastAsia="Open Sans" w:hAnsi="Open Sans"/>
          <w:color w:val="548ab7"/>
          <w:sz w:val="28"/>
          <w:szCs w:val="28"/>
          <w:highlight w:val="white"/>
          <w:rtl w:val="0"/>
        </w:rPr>
        <w:t xml:space="preserve">      </w:t>
      </w:r>
      <w:r w:rsidDel="00000000" w:rsidR="00000000" w:rsidRPr="00000000">
        <w:rPr>
          <w:rFonts w:ascii="Open Sans" w:cs="Open Sans" w:eastAsia="Open Sans" w:hAnsi="Open Sans"/>
          <w:color w:val="548ab7"/>
          <w:sz w:val="28"/>
          <w:szCs w:val="28"/>
          <w:highlight w:val="white"/>
          <w:u w:val="single"/>
          <w:rtl w:val="0"/>
        </w:rPr>
        <w:t xml:space="preserve"> 5.2 Ensuring Data Access and Security:</w:t>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191919"/>
          <w:sz w:val="28"/>
          <w:szCs w:val="28"/>
          <w:highlight w:val="white"/>
          <w:u w:val="single"/>
          <w:vertAlign w:val="baseline"/>
          <w:rtl w:val="0"/>
        </w:rPr>
        <w:t xml:space="preserve">Profiles</w:t>
      </w:r>
      <w:r w:rsidDel="00000000" w:rsidR="00000000" w:rsidRPr="00000000">
        <w:rPr>
          <w:rFonts w:ascii="Times New Roman" w:cs="Times New Roman" w:eastAsia="Times New Roman" w:hAnsi="Times New Roman"/>
          <w:b w:val="0"/>
          <w:i w:val="0"/>
          <w:smallCaps w:val="0"/>
          <w:strike w:val="0"/>
          <w:color w:val="000000"/>
          <w:sz w:val="28"/>
          <w:szCs w:val="28"/>
          <w:highlight w:val="white"/>
          <w:u w:val="single"/>
          <w:vertAlign w:val="baseline"/>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0" w:lineRule="auto"/>
        <w:ind w:left="720" w:right="0" w:firstLine="0"/>
        <w:jc w:val="both"/>
        <w:rPr>
          <w:rFonts w:ascii="Times New Roman" w:cs="Times New Roman" w:eastAsia="Times New Roman" w:hAnsi="Times New Roman"/>
          <w:b w:val="0"/>
          <w:i w:val="0"/>
          <w:smallCaps w:val="0"/>
          <w:strike w:val="0"/>
          <w:color w:val="000000"/>
          <w:sz w:val="28"/>
          <w:szCs w:val="28"/>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Developed an NGO's Profile to control access for coordinators and volunteers so that they can only view and update the records appropriate to their work.</w:t>
      </w:r>
      <w:r w:rsidDel="00000000" w:rsidR="00000000" w:rsidRPr="00000000">
        <w:rPr>
          <w:rtl w:val="0"/>
        </w:rPr>
      </w:r>
    </w:p>
    <w:p w:rsidR="00000000" w:rsidDel="00000000" w:rsidP="00000000" w:rsidRDefault="00000000" w:rsidRPr="00000000" w14:paraId="000000DF">
      <w:pPr>
        <w:jc w:val="both"/>
        <w:rPr>
          <w:rFonts w:ascii="Open Sans" w:cs="Open Sans" w:eastAsia="Open Sans" w:hAnsi="Open Sans"/>
          <w:color w:val="548ab7"/>
          <w:sz w:val="28"/>
          <w:szCs w:val="28"/>
          <w:highlight w:val="white"/>
          <w:u w:val="single"/>
        </w:rPr>
      </w:pPr>
      <w:r w:rsidDel="00000000" w:rsidR="00000000" w:rsidRPr="00000000">
        <w:rPr>
          <w:rFonts w:ascii="Open Sans" w:cs="Open Sans" w:eastAsia="Open Sans" w:hAnsi="Open Sans"/>
          <w:color w:val="548ab7"/>
          <w:sz w:val="28"/>
          <w:szCs w:val="28"/>
          <w:highlight w:val="white"/>
          <w:u w:val="single"/>
          <w:rtl w:val="0"/>
        </w:rPr>
        <w:t xml:space="preserve"> </w:t>
      </w:r>
      <w:r w:rsidDel="00000000" w:rsidR="00000000" w:rsidRPr="00000000">
        <w:rPr>
          <w:rFonts w:ascii="Open Sans" w:cs="Open Sans" w:eastAsia="Open Sans" w:hAnsi="Open Sans"/>
          <w:color w:val="548ab7"/>
          <w:sz w:val="28"/>
          <w:szCs w:val="28"/>
          <w:highlight w:val="white"/>
          <w:u w:val="single"/>
        </w:rPr>
        <w:drawing>
          <wp:inline distB="0" distT="0" distL="0" distR="0">
            <wp:extent cx="5654040" cy="2517775"/>
            <wp:effectExtent b="0" l="0" r="0" t="0"/>
            <wp:docPr id="3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654040" cy="2517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 xml:space="preserve">Sharing Rules:</w:t>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Set distance-based sharing rules on Drop-off Point records to share them with public groups by distance:</w:t>
      </w:r>
    </w:p>
    <w:p w:rsidR="00000000" w:rsidDel="00000000" w:rsidP="00000000" w:rsidRDefault="00000000" w:rsidRPr="00000000" w14:paraId="000000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Iksha group: Distance &lt; 15 km</w:t>
      </w:r>
    </w:p>
    <w:p w:rsidR="00000000" w:rsidDel="00000000" w:rsidP="00000000" w:rsidRDefault="00000000" w:rsidRPr="00000000" w14:paraId="000000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NSS group: Distance = between 15 km and 30 km</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Street Cause group: Distance = between 30 km and 50 km</w:t>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00" w:lineRule="auto"/>
        <w:ind w:left="72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This configuration ensures </w:t>
      </w:r>
      <w:r w:rsidDel="00000000" w:rsidR="00000000" w:rsidRPr="00000000">
        <w:rPr>
          <w:rFonts w:ascii="Open Sans" w:cs="Open Sans" w:eastAsia="Open Sans" w:hAnsi="Open Sans"/>
          <w:sz w:val="28"/>
          <w:szCs w:val="28"/>
          <w:highlight w:val="white"/>
          <w:rtl w:val="0"/>
        </w:rPr>
        <w:t xml:space="preserve">that </w:t>
      </w: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volunteers and groups view only local drop-off points, improving operational effectiveness and data safety in FoodConnect </w:t>
      </w:r>
    </w:p>
    <w:p w:rsidR="00000000" w:rsidDel="00000000" w:rsidP="00000000" w:rsidRDefault="00000000" w:rsidRPr="00000000" w14:paraId="000000E6">
      <w:pPr>
        <w:ind w:left="360" w:firstLine="0"/>
        <w:jc w:val="both"/>
        <w:rPr>
          <w:rFonts w:ascii="Open Sans" w:cs="Open Sans" w:eastAsia="Open Sans" w:hAnsi="Open Sans"/>
          <w:sz w:val="28"/>
          <w:szCs w:val="28"/>
          <w:highlight w:val="white"/>
        </w:rPr>
      </w:pPr>
      <w:r w:rsidDel="00000000" w:rsidR="00000000" w:rsidRPr="00000000">
        <w:rPr>
          <w:sz w:val="28"/>
          <w:szCs w:val="28"/>
          <w:highlight w:val="white"/>
        </w:rPr>
        <w:drawing>
          <wp:inline distB="0" distT="0" distL="0" distR="0">
            <wp:extent cx="4942158" cy="2538046"/>
            <wp:effectExtent b="0" l="0" r="0" t="0"/>
            <wp:docPr id="3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942158" cy="253804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highlight w:val="white"/>
          <w:u w:val="single"/>
        </w:rPr>
      </w:pPr>
      <w:r w:rsidDel="00000000" w:rsidR="00000000" w:rsidRPr="00000000">
        <w:rPr>
          <w:rFonts w:ascii="Open Sans" w:cs="Open Sans" w:eastAsia="Open Sans" w:hAnsi="Open Sans"/>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u w:val="single"/>
          <w:rtl w:val="0"/>
        </w:rPr>
        <w:t xml:space="preserve">6. Phase V: Deployment, Documentation &amp; Maintenance: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8"/>
          <w:szCs w:val="28"/>
          <w:highlight w:val="white"/>
          <w:u w:val="single"/>
          <w:vertAlign w:val="baseline"/>
        </w:rPr>
      </w:pPr>
      <w:r w:rsidDel="00000000" w:rsidR="00000000" w:rsidRPr="00000000">
        <w:rPr>
          <w:rFonts w:ascii="Open Sans" w:cs="Open Sans" w:eastAsia="Open Sans" w:hAnsi="Open Sans"/>
          <w:b w:val="0"/>
          <w:i w:val="0"/>
          <w:smallCaps w:val="0"/>
          <w:strike w:val="0"/>
          <w:color w:val="548ab7"/>
          <w:sz w:val="28"/>
          <w:szCs w:val="28"/>
          <w:highlight w:val="white"/>
          <w:u w:val="single"/>
          <w:vertAlign w:val="baseline"/>
          <w:rtl w:val="0"/>
        </w:rPr>
        <w:t xml:space="preserve"> 6.1 Deployment:</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Development and testing for the FoodConnect project were carried out directly within the Salesforce Developer Org. No independent deployment was carried out, nor was Change Set utilized, as the project was developed and proved out in the same environment.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548ab7"/>
          <w:sz w:val="28"/>
          <w:szCs w:val="28"/>
          <w:highlight w:val="white"/>
          <w:u w:val="single"/>
          <w:vertAlign w:val="baseline"/>
        </w:rPr>
      </w:pPr>
      <w:r w:rsidDel="00000000" w:rsidR="00000000" w:rsidRPr="00000000">
        <w:rPr>
          <w:rFonts w:ascii="Open Sans" w:cs="Open Sans" w:eastAsia="Open Sans" w:hAnsi="Open Sans"/>
          <w:b w:val="0"/>
          <w:i w:val="0"/>
          <w:smallCaps w:val="0"/>
          <w:strike w:val="0"/>
          <w:color w:val="548ab7"/>
          <w:sz w:val="28"/>
          <w:szCs w:val="28"/>
          <w:highlight w:val="white"/>
          <w:u w:val="single"/>
          <w:vertAlign w:val="baseline"/>
          <w:rtl w:val="0"/>
        </w:rPr>
        <w:t xml:space="preserve">6.2 Documentation:</w:t>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Features, flows, triggers, objects, and sharing rules were documented in a structured manner. Screenshots of each module and setup were created to maintain clarity and ease of readability for future purposes.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548ab7"/>
          <w:sz w:val="28"/>
          <w:szCs w:val="28"/>
          <w:highlight w:val="white"/>
          <w:u w:val="single"/>
          <w:vertAlign w:val="baseline"/>
        </w:rPr>
      </w:pPr>
      <w:r w:rsidDel="00000000" w:rsidR="00000000" w:rsidRPr="00000000">
        <w:rPr>
          <w:rFonts w:ascii="Open Sans" w:cs="Open Sans" w:eastAsia="Open Sans" w:hAnsi="Open Sans"/>
          <w:b w:val="0"/>
          <w:i w:val="0"/>
          <w:smallCaps w:val="0"/>
          <w:strike w:val="0"/>
          <w:color w:val="548ab7"/>
          <w:sz w:val="28"/>
          <w:szCs w:val="28"/>
          <w:highlight w:val="white"/>
          <w:u w:val="single"/>
          <w:vertAlign w:val="baseline"/>
          <w:rtl w:val="0"/>
        </w:rPr>
        <w:t xml:space="preserve">6.3 Maintenance:</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The system is maintained by:</w:t>
      </w:r>
    </w:p>
    <w:p w:rsidR="00000000" w:rsidDel="00000000" w:rsidP="00000000" w:rsidRDefault="00000000" w:rsidRPr="00000000" w14:paraId="000000E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Periodically reviewing triggers and flows to make sure they are functioning as intended.</w:t>
      </w:r>
    </w:p>
    <w:p w:rsidR="00000000" w:rsidDel="00000000" w:rsidP="00000000" w:rsidRDefault="00000000" w:rsidRPr="00000000" w14:paraId="000000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Tracking errors with Debug Logs and Setup Audit Trail in Salesforce.</w:t>
      </w:r>
    </w:p>
    <w:p w:rsidR="00000000" w:rsidDel="00000000" w:rsidP="00000000" w:rsidRDefault="00000000" w:rsidRPr="00000000" w14:paraId="000000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Gathering user feedback to enhance layouts, reports, and processes</w:t>
      </w:r>
      <w:r w:rsidDel="00000000" w:rsidR="00000000" w:rsidRPr="00000000">
        <w:rPr>
          <w:rFonts w:ascii="Open Sans" w:cs="Open Sans" w:eastAsia="Open Sans" w:hAnsi="Open Sans"/>
          <w:sz w:val="28"/>
          <w:szCs w:val="28"/>
          <w:highlight w:val="white"/>
          <w:rtl w:val="0"/>
        </w:rPr>
        <w:t xml:space="preserve">,</w:t>
      </w: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 if necessary.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single"/>
          <w:vertAlign w:val="baseline"/>
          <w:rtl w:val="0"/>
        </w:rPr>
        <w:t xml:space="preserve">Troubleshooting Method:</w:t>
      </w:r>
    </w:p>
    <w:p w:rsidR="00000000" w:rsidDel="00000000" w:rsidP="00000000" w:rsidRDefault="00000000" w:rsidRPr="00000000" w14:paraId="000000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During development, any problems like:</w:t>
      </w:r>
    </w:p>
    <w:p w:rsidR="00000000" w:rsidDel="00000000" w:rsidP="00000000" w:rsidRDefault="00000000" w:rsidRPr="00000000" w14:paraId="000000F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Flows    failing to create records properly</w:t>
      </w:r>
    </w:p>
    <w:p w:rsidR="00000000" w:rsidDel="00000000" w:rsidP="00000000" w:rsidRDefault="00000000" w:rsidRPr="00000000" w14:paraId="000000F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Trigger logic errors were fixed by inspecting error messages, reviewing debug flow details, and fixing logic. Every fix was tested right away to verify correct functioning.</w:t>
      </w:r>
    </w:p>
    <w:p w:rsidR="00000000" w:rsidDel="00000000" w:rsidP="00000000" w:rsidRDefault="00000000" w:rsidRPr="00000000" w14:paraId="000000F7">
      <w:pPr>
        <w:spacing w:line="240" w:lineRule="auto"/>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F8">
      <w:pPr>
        <w:spacing w:line="240" w:lineRule="auto"/>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F9">
      <w:pPr>
        <w:spacing w:line="240" w:lineRule="auto"/>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FA">
      <w:pPr>
        <w:spacing w:line="240" w:lineRule="auto"/>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FB">
      <w:pPr>
        <w:spacing w:line="240" w:lineRule="auto"/>
        <w:jc w:val="both"/>
        <w:rPr>
          <w:rFonts w:ascii="Times New Roman" w:cs="Times New Roman" w:eastAsia="Times New Roman" w:hAnsi="Times New Roman"/>
          <w:sz w:val="28"/>
          <w:szCs w:val="28"/>
          <w:highlight w:val="white"/>
          <w:u w:val="single"/>
        </w:rPr>
      </w:pPr>
      <w:r w:rsidDel="00000000" w:rsidR="00000000" w:rsidRPr="00000000">
        <w:rPr>
          <w:rFonts w:ascii="Open Sans" w:cs="Open Sans" w:eastAsia="Open Sans" w:hAnsi="Open Sans"/>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u w:val="single"/>
          <w:rtl w:val="0"/>
        </w:rPr>
        <w:t xml:space="preserve">Phase 6: Conclusion:</w:t>
      </w:r>
    </w:p>
    <w:p w:rsidR="00000000" w:rsidDel="00000000" w:rsidP="00000000" w:rsidRDefault="00000000" w:rsidRPr="00000000" w14:paraId="000000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85"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FoodConnect project was created to design a straightforward, efficient system to control leftover food distribution to poor and needy individuals. With Salesforce, the project simplified the process by:</w:t>
      </w:r>
    </w:p>
    <w:p w:rsidR="00000000" w:rsidDel="00000000" w:rsidP="00000000" w:rsidRDefault="00000000" w:rsidRPr="00000000" w14:paraId="000000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Registering the donor venues of leftover food.</w:t>
      </w:r>
    </w:p>
    <w:p w:rsidR="00000000" w:rsidDel="00000000" w:rsidP="00000000" w:rsidRDefault="00000000" w:rsidRPr="00000000" w14:paraId="000000F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Automatically assigning work to volunteers for pickup and delivery.</w:t>
      </w:r>
    </w:p>
    <w:p w:rsidR="00000000" w:rsidDel="00000000" w:rsidP="00000000" w:rsidRDefault="00000000" w:rsidRPr="00000000" w14:paraId="000000F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Monitoring drop-off locations and execution information efficiently.</w:t>
      </w:r>
    </w:p>
    <w:p w:rsidR="00000000" w:rsidDel="00000000" w:rsidP="00000000" w:rsidRDefault="00000000" w:rsidRPr="00000000" w14:paraId="0000010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Applying automation, such as flows and triggers, to minimize manual effort.</w:t>
      </w:r>
    </w:p>
    <w:p w:rsidR="00000000" w:rsidDel="00000000" w:rsidP="00000000" w:rsidRDefault="00000000" w:rsidRPr="00000000" w14:paraId="0000010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Setting up sharing rules so that only appropriate volunteers </w:t>
      </w:r>
      <w:r w:rsidDel="00000000" w:rsidR="00000000" w:rsidRPr="00000000">
        <w:rPr>
          <w:rFonts w:ascii="Open Sans" w:cs="Open Sans" w:eastAsia="Open Sans" w:hAnsi="Open Sans"/>
          <w:sz w:val="28"/>
          <w:szCs w:val="28"/>
          <w:highlight w:val="white"/>
          <w:rtl w:val="0"/>
        </w:rPr>
        <w:t xml:space="preserve">can</w:t>
      </w: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 view neighboring drop-off points.</w:t>
      </w:r>
    </w:p>
    <w:p w:rsidR="00000000" w:rsidDel="00000000" w:rsidP="00000000" w:rsidRDefault="00000000" w:rsidRPr="00000000" w14:paraId="0000010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The project demonstrates how Salesforce may be employed outside of business CRM to address real-life social issues such as food wastage and hunger. It accelerates the donation and delivery process, making it more organized and transparent for both NGOs and the beneficiaries.</w:t>
      </w:r>
    </w:p>
    <w:p w:rsidR="00000000" w:rsidDel="00000000" w:rsidP="00000000" w:rsidRDefault="00000000" w:rsidRPr="00000000" w14:paraId="0000010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644" w:right="0" w:hanging="360"/>
        <w:jc w:val="both"/>
        <w:rPr>
          <w:rFonts w:ascii="Open Sans" w:cs="Open Sans" w:eastAsia="Open Sans" w:hAnsi="Open Sans"/>
          <w:b w:val="0"/>
          <w:i w:val="0"/>
          <w:smallCaps w:val="0"/>
          <w:strike w:val="0"/>
          <w:color w:val="000000"/>
          <w:sz w:val="28"/>
          <w:szCs w:val="28"/>
          <w:highlight w:val="white"/>
          <w:vertAlign w:val="baseline"/>
        </w:rPr>
      </w:pPr>
      <w:r w:rsidDel="00000000" w:rsidR="00000000" w:rsidRPr="00000000">
        <w:rPr>
          <w:rFonts w:ascii="Open Sans" w:cs="Open Sans" w:eastAsia="Open Sans" w:hAnsi="Open Sans"/>
          <w:b w:val="0"/>
          <w:i w:val="0"/>
          <w:smallCaps w:val="0"/>
          <w:strike w:val="0"/>
          <w:color w:val="000000"/>
          <w:sz w:val="28"/>
          <w:szCs w:val="28"/>
          <w:highlight w:val="white"/>
          <w:u w:val="none"/>
          <w:vertAlign w:val="baseline"/>
          <w:rtl w:val="0"/>
        </w:rPr>
        <w:t xml:space="preserve">In the future, FoodConnect can be made even more efficient by implementing WhatsApp notifications, AI-driven volunteer scheduling, and chatbot integration to increase its capabilities and accessibility.</w:t>
      </w:r>
    </w:p>
    <w:p w:rsidR="00000000" w:rsidDel="00000000" w:rsidP="00000000" w:rsidRDefault="00000000" w:rsidRPr="00000000" w14:paraId="00000104">
      <w:pPr>
        <w:spacing w:line="240" w:lineRule="auto"/>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105">
      <w:pPr>
        <w:spacing w:line="240" w:lineRule="auto"/>
        <w:jc w:val="both"/>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w:t>
      </w:r>
    </w:p>
    <w:p w:rsidR="00000000" w:rsidDel="00000000" w:rsidP="00000000" w:rsidRDefault="00000000" w:rsidRPr="00000000" w14:paraId="00000106">
      <w:pPr>
        <w:spacing w:line="240" w:lineRule="auto"/>
        <w:jc w:val="both"/>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107">
      <w:pPr>
        <w:spacing w:line="240" w:lineRule="auto"/>
        <w:jc w:val="both"/>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Pr>
        <w:drawing>
          <wp:inline distB="114300" distT="114300" distL="114300" distR="114300">
            <wp:extent cx="6600825" cy="3786188"/>
            <wp:effectExtent b="0" l="0" r="0" t="0"/>
            <wp:docPr id="3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60082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109">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10A">
      <w:pPr>
        <w:rPr>
          <w:rFonts w:ascii="Open Sans" w:cs="Open Sans" w:eastAsia="Open Sans" w:hAnsi="Open Sans"/>
          <w:sz w:val="28"/>
          <w:szCs w:val="28"/>
        </w:rPr>
      </w:pPr>
      <w:bookmarkStart w:colFirst="0" w:colLast="0" w:name="_heading=h.v3074mosh8qh" w:id="0"/>
      <w:bookmarkEnd w:id="0"/>
      <w:r w:rsidDel="00000000" w:rsidR="00000000" w:rsidRPr="00000000">
        <w:rPr>
          <w:rtl w:val="0"/>
        </w:rPr>
      </w:r>
    </w:p>
    <w:p w:rsidR="00000000" w:rsidDel="00000000" w:rsidP="00000000" w:rsidRDefault="00000000" w:rsidRPr="00000000" w14:paraId="0000010B">
      <w:pPr>
        <w:tabs>
          <w:tab w:val="left" w:leader="none" w:pos="2391"/>
        </w:tabs>
        <w:rPr>
          <w:rFonts w:ascii="Algerian" w:cs="Algerian" w:eastAsia="Algerian" w:hAnsi="Algerian"/>
          <w:sz w:val="28"/>
          <w:szCs w:val="28"/>
          <w:u w:val="single"/>
        </w:rPr>
      </w:pPr>
      <w:r w:rsidDel="00000000" w:rsidR="00000000" w:rsidRPr="00000000">
        <w:rPr>
          <w:rFonts w:ascii="Open Sans" w:cs="Open Sans" w:eastAsia="Open Sans" w:hAnsi="Open Sans"/>
          <w:sz w:val="28"/>
          <w:szCs w:val="28"/>
          <w:rtl w:val="0"/>
        </w:rPr>
        <w:t xml:space="preserve">                                               </w:t>
      </w:r>
      <w:r w:rsidDel="00000000" w:rsidR="00000000" w:rsidRPr="00000000">
        <w:rPr>
          <w:rFonts w:ascii="Algerian" w:cs="Algerian" w:eastAsia="Algerian" w:hAnsi="Algerian"/>
          <w:sz w:val="28"/>
          <w:szCs w:val="28"/>
          <w:rtl w:val="0"/>
        </w:rPr>
        <w:t xml:space="preserve"> </w:t>
      </w:r>
      <w:r w:rsidDel="00000000" w:rsidR="00000000" w:rsidRPr="00000000">
        <w:rPr>
          <w:rFonts w:ascii="Algerian" w:cs="Algerian" w:eastAsia="Algerian" w:hAnsi="Algerian"/>
          <w:sz w:val="28"/>
          <w:szCs w:val="28"/>
        </w:rPr>
        <w:drawing>
          <wp:inline distB="114300" distT="114300" distL="114300" distR="114300">
            <wp:extent cx="5943600" cy="3784600"/>
            <wp:effectExtent b="0" l="0" r="0" t="0"/>
            <wp:docPr id="3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Algerian"/>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pStyle w:val="Heading3"/>
      <w:shd w:fill="ffffff" w:val="clear"/>
      <w:spacing w:after="150" w:before="300" w:lineRule="auto"/>
      <w:rPr>
        <w:rFonts w:ascii="Arial" w:cs="Arial" w:eastAsia="Arial" w:hAnsi="Arial"/>
        <w:color w:val="2d2828"/>
        <w:sz w:val="38"/>
        <w:szCs w:val="38"/>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352425</wp:posOffset>
              </wp:positionH>
              <wp:positionV relativeFrom="page">
                <wp:posOffset>457200</wp:posOffset>
              </wp:positionV>
              <wp:extent cx="228600" cy="9144000"/>
              <wp:effectExtent b="0" l="0" r="0" t="0"/>
              <wp:wrapNone/>
              <wp:docPr descr="Decorative sidebar for cover page " id="29" name=""/>
              <a:graphic>
                <a:graphicData uri="http://schemas.microsoft.com/office/word/2010/wordprocessingGroup">
                  <wpg:wgp>
                    <wpg:cNvGrpSpPr/>
                    <wpg:grpSpPr>
                      <a:xfrm>
                        <a:off x="5231700" y="0"/>
                        <a:ext cx="228600" cy="9144000"/>
                        <a:chOff x="5231700" y="0"/>
                        <a:chExt cx="228600" cy="7560000"/>
                      </a:xfrm>
                    </wpg:grpSpPr>
                    <wpg:grpSp>
                      <wpg:cNvGrpSpPr/>
                      <wpg:grpSpPr>
                        <a:xfrm>
                          <a:off x="5231700" y="0"/>
                          <a:ext cx="228600" cy="7560000"/>
                          <a:chOff x="0" y="0"/>
                          <a:chExt cx="228600" cy="9144000"/>
                        </a:xfrm>
                      </wpg:grpSpPr>
                      <wps:wsp>
                        <wps:cNvSpPr/>
                        <wps:cNvPr id="3" name="Shape 3"/>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Decorative sidebar" id="4" name="Shape 4"/>
                        <wps:spPr>
                          <a:xfrm>
                            <a:off x="0" y="0"/>
                            <a:ext cx="228600" cy="878205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Decorative sidebar" id="5" name="Shape 5"/>
                        <wps:spPr>
                          <a:xfrm>
                            <a:off x="0" y="8915400"/>
                            <a:ext cx="228600" cy="228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352425</wp:posOffset>
              </wp:positionH>
              <wp:positionV relativeFrom="page">
                <wp:posOffset>457200</wp:posOffset>
              </wp:positionV>
              <wp:extent cx="228600" cy="9144000"/>
              <wp:effectExtent b="0" l="0" r="0" t="0"/>
              <wp:wrapNone/>
              <wp:docPr descr="Decorative sidebar for cover page " id="29" name="image26.png"/>
              <a:graphic>
                <a:graphicData uri="http://schemas.openxmlformats.org/drawingml/2006/picture">
                  <pic:pic>
                    <pic:nvPicPr>
                      <pic:cNvPr descr="Decorative sidebar for cover page " id="0" name="image26.png"/>
                      <pic:cNvPicPr preferRelativeResize="0"/>
                    </pic:nvPicPr>
                    <pic:blipFill>
                      <a:blip r:embed="rId1"/>
                      <a:srcRect/>
                      <a:stretch>
                        <a:fillRect/>
                      </a:stretch>
                    </pic:blipFill>
                    <pic:spPr>
                      <a:xfrm>
                        <a:off x="0" y="0"/>
                        <a:ext cx="228600" cy="9144000"/>
                      </a:xfrm>
                      <a:prstGeom prst="rect"/>
                      <a:ln/>
                    </pic:spPr>
                  </pic:pic>
                </a:graphicData>
              </a:graphic>
            </wp:anchor>
          </w:drawing>
        </mc:Fallback>
      </mc:AlternateContent>
    </w:r>
    <w:r w:rsidDel="00000000" w:rsidR="00000000" w:rsidRPr="00000000">
      <w:rPr>
        <w:rtl w:val="0"/>
      </w:rPr>
      <w:t xml:space="preserve">                FoodConnect:</w:t>
    </w:r>
    <w:r w:rsidDel="00000000" w:rsidR="00000000" w:rsidRPr="00000000">
      <w:rPr>
        <w:rFonts w:ascii="Arial" w:cs="Arial" w:eastAsia="Arial" w:hAnsi="Arial"/>
        <w:color w:val="2d2828"/>
        <w:sz w:val="38"/>
        <w:szCs w:val="38"/>
        <w:rtl w:val="0"/>
      </w:rPr>
      <w:t xml:space="preserve"> To Supply Leftover Food to Poor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1222" w:hanging="360"/>
      </w:pPr>
      <w:rPr>
        <w:rFonts w:ascii="Courier New" w:cs="Courier New" w:eastAsia="Courier New" w:hAnsi="Courier New"/>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1656" w:hanging="360"/>
      </w:pPr>
      <w:rPr>
        <w:rFonts w:ascii="Courier New" w:cs="Courier New" w:eastAsia="Courier New" w:hAnsi="Courier New"/>
      </w:rPr>
    </w:lvl>
    <w:lvl w:ilvl="1">
      <w:start w:val="1"/>
      <w:numFmt w:val="bullet"/>
      <w:lvlText w:val="o"/>
      <w:lvlJc w:val="left"/>
      <w:pPr>
        <w:ind w:left="2376" w:hanging="360"/>
      </w:pPr>
      <w:rPr>
        <w:rFonts w:ascii="Courier New" w:cs="Courier New" w:eastAsia="Courier New" w:hAnsi="Courier New"/>
      </w:rPr>
    </w:lvl>
    <w:lvl w:ilvl="2">
      <w:start w:val="1"/>
      <w:numFmt w:val="bullet"/>
      <w:lvlText w:val="▪"/>
      <w:lvlJc w:val="left"/>
      <w:pPr>
        <w:ind w:left="3096" w:hanging="360"/>
      </w:pPr>
      <w:rPr>
        <w:rFonts w:ascii="Noto Sans Symbols" w:cs="Noto Sans Symbols" w:eastAsia="Noto Sans Symbols" w:hAnsi="Noto Sans Symbols"/>
      </w:rPr>
    </w:lvl>
    <w:lvl w:ilvl="3">
      <w:start w:val="1"/>
      <w:numFmt w:val="bullet"/>
      <w:lvlText w:val="●"/>
      <w:lvlJc w:val="left"/>
      <w:pPr>
        <w:ind w:left="3816" w:hanging="360"/>
      </w:pPr>
      <w:rPr>
        <w:rFonts w:ascii="Noto Sans Symbols" w:cs="Noto Sans Symbols" w:eastAsia="Noto Sans Symbols" w:hAnsi="Noto Sans Symbols"/>
      </w:rPr>
    </w:lvl>
    <w:lvl w:ilvl="4">
      <w:start w:val="1"/>
      <w:numFmt w:val="bullet"/>
      <w:lvlText w:val="o"/>
      <w:lvlJc w:val="left"/>
      <w:pPr>
        <w:ind w:left="4536" w:hanging="360"/>
      </w:pPr>
      <w:rPr>
        <w:rFonts w:ascii="Courier New" w:cs="Courier New" w:eastAsia="Courier New" w:hAnsi="Courier New"/>
      </w:rPr>
    </w:lvl>
    <w:lvl w:ilvl="5">
      <w:start w:val="1"/>
      <w:numFmt w:val="bullet"/>
      <w:lvlText w:val="▪"/>
      <w:lvlJc w:val="left"/>
      <w:pPr>
        <w:ind w:left="5256" w:hanging="360"/>
      </w:pPr>
      <w:rPr>
        <w:rFonts w:ascii="Noto Sans Symbols" w:cs="Noto Sans Symbols" w:eastAsia="Noto Sans Symbols" w:hAnsi="Noto Sans Symbols"/>
      </w:rPr>
    </w:lvl>
    <w:lvl w:ilvl="6">
      <w:start w:val="1"/>
      <w:numFmt w:val="bullet"/>
      <w:lvlText w:val="●"/>
      <w:lvlJc w:val="left"/>
      <w:pPr>
        <w:ind w:left="5976" w:hanging="360"/>
      </w:pPr>
      <w:rPr>
        <w:rFonts w:ascii="Noto Sans Symbols" w:cs="Noto Sans Symbols" w:eastAsia="Noto Sans Symbols" w:hAnsi="Noto Sans Symbols"/>
      </w:rPr>
    </w:lvl>
    <w:lvl w:ilvl="7">
      <w:start w:val="1"/>
      <w:numFmt w:val="bullet"/>
      <w:lvlText w:val="o"/>
      <w:lvlJc w:val="left"/>
      <w:pPr>
        <w:ind w:left="6696" w:hanging="360"/>
      </w:pPr>
      <w:rPr>
        <w:rFonts w:ascii="Courier New" w:cs="Courier New" w:eastAsia="Courier New" w:hAnsi="Courier New"/>
      </w:rPr>
    </w:lvl>
    <w:lvl w:ilvl="8">
      <w:start w:val="1"/>
      <w:numFmt w:val="bullet"/>
      <w:lvlText w:val="▪"/>
      <w:lvlJc w:val="left"/>
      <w:pPr>
        <w:ind w:left="7416"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3">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4">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8">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9">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o"/>
      <w:lvlJc w:val="left"/>
      <w:pPr>
        <w:ind w:left="1069" w:hanging="360"/>
      </w:pPr>
      <w:rPr>
        <w:rFonts w:ascii="Courier New" w:cs="Courier New" w:eastAsia="Courier New" w:hAnsi="Courier New"/>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2">
    <w:lvl w:ilvl="0">
      <w:start w:val="1"/>
      <w:numFmt w:val="bullet"/>
      <w:lvlText w:val="●"/>
      <w:lvlJc w:val="left"/>
      <w:pPr>
        <w:ind w:left="785" w:hanging="360"/>
      </w:pPr>
      <w:rPr>
        <w:rFonts w:ascii="Noto Sans Symbols" w:cs="Noto Sans Symbols" w:eastAsia="Noto Sans Symbols" w:hAnsi="Noto Sans Symbols"/>
        <w:color w:val="000000"/>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23">
    <w:lvl w:ilvl="0">
      <w:start w:val="1"/>
      <w:numFmt w:val="bullet"/>
      <w:lvlText w:val="●"/>
      <w:lvlJc w:val="left"/>
      <w:pPr>
        <w:ind w:left="644" w:hanging="359.99999999999994"/>
      </w:pPr>
      <w:rPr>
        <w:rFonts w:ascii="Noto Sans Symbols" w:cs="Noto Sans Symbols" w:eastAsia="Noto Sans Symbols" w:hAnsi="Noto Sans Symbols"/>
        <w:color w:val="000000"/>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480" w:hanging="480"/>
      </w:pPr>
      <w:rPr/>
    </w:lvl>
    <w:lvl w:ilvl="1">
      <w:start w:val="1"/>
      <w:numFmt w:val="decimal"/>
      <w:lvlText w:val="%1.%2"/>
      <w:lvlJc w:val="left"/>
      <w:pPr>
        <w:ind w:left="480" w:hanging="48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color w:val="00000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360" w:hanging="360"/>
      </w:pPr>
      <w:rPr>
        <w:rFonts w:ascii="Noto Sans Symbols" w:cs="Noto Sans Symbols" w:eastAsia="Noto Sans Symbols" w:hAnsi="Noto Sans Symbols"/>
        <w:color w:val="000000"/>
        <w:sz w:val="28"/>
        <w:szCs w:val="2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0">
    <w:lvl w:ilvl="0">
      <w:start w:val="1"/>
      <w:numFmt w:val="bullet"/>
      <w:lvlText w:val="●"/>
      <w:lvlJc w:val="left"/>
      <w:pPr>
        <w:ind w:left="502" w:hanging="360"/>
      </w:pPr>
      <w:rPr>
        <w:rFonts w:ascii="Noto Sans Symbols" w:cs="Noto Sans Symbols" w:eastAsia="Noto Sans Symbols" w:hAnsi="Noto Sans Symbols"/>
        <w:color w:val="000000"/>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1"/>
        <w:szCs w:val="21"/>
        <w:lang w:val="en"/>
      </w:rPr>
    </w:rPrDefault>
    <w:pPrDefault>
      <w:pPr>
        <w:spacing w:after="160" w:line="3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548ab7"/>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b81" w:space="8" w:sz="6" w:val="single"/>
        <w:bottom w:color="a5ab81" w:space="8" w:sz="6" w:val="single"/>
      </w:pBdr>
      <w:spacing w:after="400" w:line="240" w:lineRule="auto"/>
      <w:jc w:val="center"/>
    </w:pPr>
    <w:rPr>
      <w:rFonts w:ascii="Calibri" w:cs="Calibri" w:eastAsia="Calibri" w:hAnsi="Calibri"/>
      <w:smallCaps w:val="1"/>
      <w:color w:val="775f55"/>
      <w:sz w:val="72"/>
      <w:szCs w:val="72"/>
    </w:rPr>
  </w:style>
  <w:style w:type="paragraph" w:styleId="Heading7">
    <w:name w:val="heading 7"/>
    <w:basedOn w:val="Normal"/>
    <w:next w:val="Normal"/>
    <w:link w:val="Heading7Char"/>
    <w:uiPriority w:val="9"/>
    <w:semiHidden w:val="1"/>
    <w:unhideWhenUsed w:val="1"/>
    <w:qFormat w:val="1"/>
    <w:rsid w:val="00A03CB0"/>
    <w:pPr>
      <w:keepNext w:val="1"/>
      <w:keepLines w:val="1"/>
      <w:spacing w:after="0" w:before="40"/>
      <w:outlineLvl w:val="6"/>
    </w:pPr>
    <w:rPr>
      <w:rFonts w:asciiTheme="majorHAnsi" w:cstheme="majorBidi" w:eastAsiaTheme="majorEastAsia" w:hAnsiTheme="majorHAnsi"/>
      <w:sz w:val="24"/>
      <w:szCs w:val="24"/>
    </w:rPr>
  </w:style>
  <w:style w:type="paragraph" w:styleId="Heading8">
    <w:name w:val="heading 8"/>
    <w:basedOn w:val="Normal"/>
    <w:next w:val="Normal"/>
    <w:link w:val="Heading8Char"/>
    <w:uiPriority w:val="9"/>
    <w:semiHidden w:val="1"/>
    <w:unhideWhenUsed w:val="1"/>
    <w:qFormat w:val="1"/>
    <w:rsid w:val="00A03CB0"/>
    <w:pPr>
      <w:keepNext w:val="1"/>
      <w:keepLines w:val="1"/>
      <w:spacing w:after="0" w:before="40"/>
      <w:outlineLvl w:val="7"/>
    </w:pPr>
    <w:rPr>
      <w:rFonts w:asciiTheme="majorHAnsi" w:cstheme="majorBidi" w:eastAsiaTheme="majorEastAsia" w:hAnsiTheme="majorHAnsi"/>
      <w:i w:val="1"/>
      <w:iCs w:val="1"/>
      <w:sz w:val="22"/>
      <w:szCs w:val="22"/>
    </w:rPr>
  </w:style>
  <w:style w:type="paragraph" w:styleId="Heading9">
    <w:name w:val="heading 9"/>
    <w:basedOn w:val="Normal"/>
    <w:next w:val="Normal"/>
    <w:link w:val="Heading9Char"/>
    <w:uiPriority w:val="9"/>
    <w:semiHidden w:val="1"/>
    <w:unhideWhenUsed w:val="1"/>
    <w:qFormat w:val="1"/>
    <w:rsid w:val="00A03CB0"/>
    <w:pPr>
      <w:keepNext w:val="1"/>
      <w:keepLines w:val="1"/>
      <w:spacing w:after="0" w:before="40"/>
      <w:outlineLvl w:val="8"/>
    </w:pPr>
    <w:rPr>
      <w:b w:val="1"/>
      <w:bCs w:val="1"/>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3CB0"/>
    <w:rPr>
      <w:rFonts w:asciiTheme="majorHAnsi" w:cstheme="majorBidi" w:eastAsiaTheme="majorEastAsia" w:hAnsiTheme="majorHAnsi"/>
      <w:color w:val="548ab7" w:themeColor="accent1" w:themeShade="0000BF"/>
      <w:sz w:val="40"/>
      <w:szCs w:val="40"/>
    </w:rPr>
  </w:style>
  <w:style w:type="character" w:styleId="Heading2Char" w:customStyle="1">
    <w:name w:val="Heading 2 Char"/>
    <w:basedOn w:val="DefaultParagraphFont"/>
    <w:link w:val="Heading2"/>
    <w:uiPriority w:val="9"/>
    <w:rsid w:val="00A03CB0"/>
    <w:rPr>
      <w:rFont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rsid w:val="00A03CB0"/>
    <w:rPr>
      <w:rFont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rsid w:val="00A03CB0"/>
    <w:rPr>
      <w:rFonts w:asciiTheme="majorHAnsi" w:cstheme="majorBidi" w:eastAsiaTheme="majorEastAsia" w:hAnsiTheme="majorHAnsi"/>
      <w:i w:val="1"/>
      <w:iCs w:val="1"/>
      <w:sz w:val="30"/>
      <w:szCs w:val="30"/>
    </w:rPr>
  </w:style>
  <w:style w:type="character" w:styleId="Heading5Char" w:customStyle="1">
    <w:name w:val="Heading 5 Char"/>
    <w:basedOn w:val="DefaultParagraphFont"/>
    <w:link w:val="Heading5"/>
    <w:uiPriority w:val="9"/>
    <w:semiHidden w:val="1"/>
    <w:rsid w:val="00A03CB0"/>
    <w:rPr>
      <w:rFont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val="1"/>
    <w:rsid w:val="00A03CB0"/>
    <w:rPr>
      <w:rFonts w:asciiTheme="majorHAnsi" w:cstheme="majorBidi" w:eastAsiaTheme="majorEastAsia" w:hAnsiTheme="majorHAnsi"/>
      <w:i w:val="1"/>
      <w:iCs w:val="1"/>
      <w:sz w:val="26"/>
      <w:szCs w:val="26"/>
    </w:rPr>
  </w:style>
  <w:style w:type="character" w:styleId="Heading7Char" w:customStyle="1">
    <w:name w:val="Heading 7 Char"/>
    <w:basedOn w:val="DefaultParagraphFont"/>
    <w:link w:val="Heading7"/>
    <w:uiPriority w:val="9"/>
    <w:semiHidden w:val="1"/>
    <w:rsid w:val="00A03CB0"/>
    <w:rPr>
      <w:rFont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val="1"/>
    <w:rsid w:val="00A03CB0"/>
    <w:rPr>
      <w:rFonts w:asciiTheme="majorHAnsi" w:cstheme="majorBidi" w:eastAsiaTheme="majorEastAsia" w:hAnsiTheme="majorHAnsi"/>
      <w:i w:val="1"/>
      <w:iCs w:val="1"/>
      <w:sz w:val="22"/>
      <w:szCs w:val="22"/>
    </w:rPr>
  </w:style>
  <w:style w:type="character" w:styleId="Heading9Char" w:customStyle="1">
    <w:name w:val="Heading 9 Char"/>
    <w:basedOn w:val="DefaultParagraphFont"/>
    <w:link w:val="Heading9"/>
    <w:uiPriority w:val="9"/>
    <w:semiHidden w:val="1"/>
    <w:rsid w:val="00A03CB0"/>
    <w:rPr>
      <w:b w:val="1"/>
      <w:bCs w:val="1"/>
      <w:i w:val="1"/>
      <w:iCs w:val="1"/>
    </w:rPr>
  </w:style>
  <w:style w:type="paragraph" w:styleId="Caption">
    <w:name w:val="caption"/>
    <w:basedOn w:val="Normal"/>
    <w:next w:val="Normal"/>
    <w:uiPriority w:val="35"/>
    <w:semiHidden w:val="1"/>
    <w:unhideWhenUsed w:val="1"/>
    <w:qFormat w:val="1"/>
    <w:rsid w:val="00A03CB0"/>
    <w:pPr>
      <w:spacing w:line="240" w:lineRule="auto"/>
    </w:pPr>
    <w:rPr>
      <w:b w:val="1"/>
      <w:bCs w:val="1"/>
      <w:color w:val="404040" w:themeColor="text1" w:themeTint="0000BF"/>
      <w:sz w:val="16"/>
      <w:szCs w:val="16"/>
    </w:rPr>
  </w:style>
  <w:style w:type="character" w:styleId="TitleChar" w:customStyle="1">
    <w:name w:val="Title Char"/>
    <w:basedOn w:val="DefaultParagraphFont"/>
    <w:link w:val="Title"/>
    <w:uiPriority w:val="10"/>
    <w:rsid w:val="00A03CB0"/>
    <w:rPr>
      <w:rFonts w:asciiTheme="majorHAnsi" w:cstheme="majorBidi" w:eastAsiaTheme="majorEastAsia" w:hAnsiTheme="majorHAnsi"/>
      <w:caps w:val="1"/>
      <w:color w:val="775f55" w:themeColor="text2"/>
      <w:spacing w:val="30"/>
      <w:sz w:val="72"/>
      <w:szCs w:val="72"/>
    </w:rPr>
  </w:style>
  <w:style w:type="character" w:styleId="SubtitleChar" w:customStyle="1">
    <w:name w:val="Subtitle Char"/>
    <w:basedOn w:val="DefaultParagraphFont"/>
    <w:link w:val="Subtitle"/>
    <w:uiPriority w:val="11"/>
    <w:rsid w:val="00A03CB0"/>
    <w:rPr>
      <w:color w:val="775f55" w:themeColor="text2"/>
      <w:sz w:val="28"/>
      <w:szCs w:val="28"/>
    </w:rPr>
  </w:style>
  <w:style w:type="paragraph" w:styleId="TOCHeading">
    <w:name w:val="TOC Heading"/>
    <w:basedOn w:val="Heading1"/>
    <w:next w:val="Normal"/>
    <w:uiPriority w:val="39"/>
    <w:semiHidden w:val="1"/>
    <w:unhideWhenUsed w:val="1"/>
    <w:qFormat w:val="1"/>
    <w:rsid w:val="00A03CB0"/>
    <w:pPr>
      <w:outlineLvl w:val="9"/>
    </w:pPr>
  </w:style>
  <w:style w:type="table" w:styleId="TableGrid">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3-Accent1">
    <w:name w:val="Grid Table 3 Accent 1"/>
    <w:basedOn w:val="TableNormal"/>
    <w:uiPriority w:val="48"/>
    <w:pPr>
      <w:spacing w:after="0" w:line="240" w:lineRule="auto"/>
    </w:pPr>
    <w:tblPr>
      <w:tblStyleRowBandSize w:val="1"/>
      <w:tblStyleColBandSize w:val="1"/>
      <w:tblBorders>
        <w:top w:color="bed3e4" w:space="0" w:sz="4" w:themeColor="accent1" w:themeTint="000099" w:val="single"/>
        <w:left w:color="bed3e4" w:space="0" w:sz="4" w:themeColor="accent1" w:themeTint="000099" w:val="single"/>
        <w:bottom w:color="bed3e4" w:space="0" w:sz="4" w:themeColor="accent1" w:themeTint="000099" w:val="single"/>
        <w:right w:color="bed3e4" w:space="0" w:sz="4" w:themeColor="accent1" w:themeTint="000099" w:val="single"/>
        <w:insideH w:color="bed3e4" w:space="0" w:sz="4" w:themeColor="accent1" w:themeTint="000099" w:val="single"/>
        <w:insideV w:color="bed3e4" w:space="0" w:sz="4" w:themeColor="accent1" w:themeTint="000099" w:val="single"/>
      </w:tblBorders>
      <w:tblCellMar>
        <w:top w:w="29.0" w:type="dxa"/>
        <w:bottom w:w="29.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9f0f6" w:themeFill="accent1" w:themeFillTint="000033" w:val="clear"/>
      </w:tcPr>
    </w:tblStylePr>
    <w:tblStylePr w:type="band1Horz">
      <w:tblPr/>
      <w:tcPr>
        <w:shd w:color="auto" w:fill="e9f0f6" w:themeFill="accent1" w:themeFillTint="000033" w:val="clear"/>
      </w:tcPr>
    </w:tblStylePr>
    <w:tblStylePr w:type="neCell">
      <w:tblPr/>
      <w:tcPr>
        <w:tcBorders>
          <w:bottom w:color="bed3e4" w:space="0" w:sz="4" w:themeColor="accent1" w:themeTint="000099" w:val="single"/>
        </w:tcBorders>
      </w:tcPr>
    </w:tblStylePr>
    <w:tblStylePr w:type="nwCell">
      <w:tblPr/>
      <w:tcPr>
        <w:tcBorders>
          <w:bottom w:color="bed3e4" w:space="0" w:sz="4" w:themeColor="accent1" w:themeTint="000099" w:val="single"/>
        </w:tcBorders>
      </w:tcPr>
    </w:tblStylePr>
    <w:tblStylePr w:type="seCell">
      <w:tblPr/>
      <w:tcPr>
        <w:tcBorders>
          <w:top w:color="bed3e4" w:space="0" w:sz="4" w:themeColor="accent1" w:themeTint="000099" w:val="single"/>
        </w:tcBorders>
      </w:tcPr>
    </w:tblStylePr>
    <w:tblStylePr w:type="swCell">
      <w:tblPr/>
      <w:tcPr>
        <w:tcBorders>
          <w:top w:color="bed3e4" w:space="0" w:sz="4" w:themeColor="accent1" w:themeTint="000099" w:val="single"/>
        </w:tcBorders>
      </w:tcPr>
    </w:tblStylePr>
  </w:style>
  <w:style w:type="table" w:styleId="ListTable7Colorful-Accent1">
    <w:name w:val="List Table 7 Colorful Accent 1"/>
    <w:basedOn w:val="TableNormal"/>
    <w:uiPriority w:val="52"/>
    <w:pPr>
      <w:spacing w:after="0" w:line="240" w:lineRule="auto"/>
    </w:pPr>
    <w:rPr>
      <w:color w:val="548ab7" w:themeColor="accent1" w:themeShade="0000BF"/>
    </w:rPr>
    <w:tblPr>
      <w:tblStyleRowBandSize w:val="1"/>
      <w:tblStyleColBandSize w:val="1"/>
      <w:tblCellMar>
        <w:top w:w="29.0" w:type="dxa"/>
        <w:bottom w:w="29.0" w:type="dxa"/>
      </w:tblCellMar>
    </w:tblPr>
    <w:tblStylePr w:type="firstRow">
      <w:rPr>
        <w:rFonts w:asciiTheme="majorHAnsi" w:cstheme="majorBidi" w:eastAsiaTheme="majorEastAsia" w:hAnsiTheme="majorHAnsi"/>
        <w:i w:val="1"/>
        <w:iCs w:val="1"/>
        <w:sz w:val="26"/>
      </w:rPr>
      <w:tblPr/>
      <w:tcPr>
        <w:tcBorders>
          <w:bottom w:color="94b6d2"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94b6d2"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94b6d2"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94b6d2" w:space="0" w:sz="4" w:themeColor="accent1" w:val="single"/>
        </w:tcBorders>
        <w:shd w:color="auto" w:fill="ffffff" w:themeFill="background1" w:val="clear"/>
      </w:tcPr>
    </w:tblStylePr>
    <w:tblStylePr w:type="band1Vert">
      <w:tblPr/>
      <w:tcPr>
        <w:shd w:color="auto" w:fill="e9f0f6" w:themeFill="accent1" w:themeFillTint="000033" w:val="clear"/>
      </w:tcPr>
    </w:tblStylePr>
    <w:tblStylePr w:type="band1Horz">
      <w:tblPr/>
      <w:tcPr>
        <w:shd w:color="auto" w:fill="e9f0f6"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29.0" w:type="dxa"/>
        <w:bottom w:w="29.0" w:type="dxa"/>
      </w:tblCellMar>
    </w:tblPr>
    <w:tcPr>
      <w:shd w:color="auto" w:fill="e9f0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4b6d2"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4b6d2"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4b6d2"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4b6d2" w:themeFill="accent1" w:val="clear"/>
      </w:tcPr>
    </w:tblStylePr>
    <w:tblStylePr w:type="band1Vert">
      <w:tblPr/>
      <w:tcPr>
        <w:shd w:color="auto" w:fill="d4e1ed" w:themeFill="accent1" w:themeFillTint="000066" w:val="clear"/>
      </w:tcPr>
    </w:tblStylePr>
    <w:tblStylePr w:type="band1Horz">
      <w:tblPr/>
      <w:tcPr>
        <w:shd w:color="auto" w:fill="d4e1ed" w:themeFill="accent1" w:themeFillTint="000066" w:val="clear"/>
      </w:tcPr>
    </w:tblStylePr>
  </w:style>
  <w:style w:type="table" w:styleId="GridTable4-Accent6">
    <w:name w:val="Grid Table 4 Accent 6"/>
    <w:basedOn w:val="TableNormal"/>
    <w:uiPriority w:val="49"/>
    <w:pPr>
      <w:spacing w:after="0" w:line="240" w:lineRule="auto"/>
    </w:pPr>
    <w:tblPr>
      <w:tblStyleRowBandSize w:val="1"/>
      <w:tblStyleColBandSize w:val="1"/>
      <w:tblBorders>
        <w:top w:color="c0baba" w:space="0" w:sz="4" w:themeColor="accent6" w:themeTint="000099" w:val="single"/>
        <w:left w:color="c0baba" w:space="0" w:sz="4" w:themeColor="accent6" w:themeTint="000099" w:val="single"/>
        <w:bottom w:color="c0baba" w:space="0" w:sz="4" w:themeColor="accent6" w:themeTint="000099" w:val="single"/>
        <w:right w:color="c0baba" w:space="0" w:sz="4" w:themeColor="accent6" w:themeTint="000099" w:val="single"/>
        <w:insideH w:color="c0baba" w:space="0" w:sz="4" w:themeColor="accent6" w:themeTint="000099" w:val="single"/>
        <w:insideV w:color="c0baba" w:space="0" w:sz="4" w:themeColor="accent6" w:themeTint="000099" w:val="single"/>
      </w:tblBorders>
      <w:tblCellMar>
        <w:top w:w="29.0" w:type="dxa"/>
        <w:bottom w:w="29.0" w:type="dxa"/>
      </w:tblCellMar>
    </w:tblPr>
    <w:tblStylePr w:type="firstRow">
      <w:rPr>
        <w:b w:val="1"/>
        <w:bCs w:val="1"/>
        <w:color w:val="ffffff" w:themeColor="background1"/>
      </w:rPr>
      <w:tblPr/>
      <w:tcPr>
        <w:tcBorders>
          <w:top w:color="968c8c" w:space="0" w:sz="4" w:themeColor="accent6" w:val="single"/>
          <w:left w:color="968c8c" w:space="0" w:sz="4" w:themeColor="accent6" w:val="single"/>
          <w:bottom w:color="968c8c" w:space="0" w:sz="4" w:themeColor="accent6" w:val="single"/>
          <w:right w:color="968c8c" w:space="0" w:sz="4" w:themeColor="accent6" w:val="single"/>
          <w:insideH w:space="0" w:sz="0" w:val="nil"/>
          <w:insideV w:space="0" w:sz="0" w:val="nil"/>
        </w:tcBorders>
        <w:shd w:color="auto" w:fill="968c8c" w:themeFill="accent6" w:val="clear"/>
      </w:tcPr>
    </w:tblStylePr>
    <w:tblStylePr w:type="lastRow">
      <w:rPr>
        <w:b w:val="1"/>
        <w:bCs w:val="1"/>
      </w:rPr>
      <w:tblPr/>
      <w:tcPr>
        <w:tcBorders>
          <w:top w:color="968c8c" w:space="0" w:sz="4" w:themeColor="accent6" w:val="double"/>
        </w:tcBorders>
      </w:tcPr>
    </w:tblStylePr>
    <w:tblStylePr w:type="firstCol">
      <w:rPr>
        <w:b w:val="1"/>
        <w:bCs w:val="1"/>
      </w:rPr>
    </w:tblStylePr>
    <w:tblStylePr w:type="lastCol">
      <w:rPr>
        <w:b w:val="1"/>
        <w:bCs w:val="1"/>
      </w:rPr>
    </w:tblStylePr>
    <w:tblStylePr w:type="band1Vert">
      <w:tblPr/>
      <w:tcPr>
        <w:shd w:color="auto" w:fill="eae8e8" w:themeFill="accent6" w:themeFillTint="000033" w:val="clear"/>
      </w:tcPr>
    </w:tblStylePr>
    <w:tblStylePr w:type="band1Horz">
      <w:tblPr/>
      <w:tcPr>
        <w:shd w:color="auto" w:fill="eae8e8" w:themeFill="accent6" w:themeFillTint="000033" w:val="clear"/>
      </w:tcPr>
    </w:tblStylePr>
  </w:style>
  <w:style w:type="table" w:styleId="TableGridLight">
    <w:name w:val="Grid Table Light"/>
    <w:basedOn w:val="TableNormal"/>
    <w:uiPriority w:val="40"/>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2">
    <w:name w:val="Plain Table 2"/>
    <w:basedOn w:val="TableNormal"/>
    <w:uiPriority w:val="42"/>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CellMar>
        <w:top w:w="29.0" w:type="dxa"/>
        <w:bottom w:w="29.0" w:type="dxa"/>
      </w:tblCellMar>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color="bed3e4" w:space="0" w:sz="4" w:themeColor="accent1" w:themeTint="000099" w:val="single"/>
        <w:bottom w:color="bed3e4" w:space="0" w:sz="4" w:themeColor="accent1" w:themeTint="000099" w:val="single"/>
        <w:insideH w:color="bed3e4" w:space="0" w:sz="4" w:themeColor="accent1" w:themeTint="000099" w:val="single"/>
      </w:tblBorders>
      <w:tblCellMar>
        <w:top w:w="29.0" w:type="dxa"/>
        <w:bottom w:w="29.0" w:type="dxa"/>
      </w:tblCellMar>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9f0f6" w:themeFill="accent1" w:themeFillTint="000033" w:val="clear"/>
      </w:tcPr>
    </w:tblStylePr>
    <w:tblStylePr w:type="band1Horz">
      <w:tblPr/>
      <w:tcPr>
        <w:shd w:color="auto" w:fill="e9f0f6" w:themeFill="accent1" w:themeFillTint="000033" w:val="clear"/>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0" w:type="dxa"/>
        <w:bottom w:w="29.0" w:type="dxa"/>
      </w:tblCellMar>
    </w:tblPr>
    <w:tblStylePr w:type="firstRow">
      <w:rPr>
        <w:b w:val="1"/>
        <w:bCs w:val="1"/>
      </w:rPr>
      <w:tblPr/>
      <w:tcPr>
        <w:tcBorders>
          <w:bottom w:color="eab290" w:space="0" w:sz="4" w:themeColor="accent2" w:themeTint="000099" w:val="single"/>
        </w:tcBorders>
      </w:tcPr>
    </w:tblStylePr>
    <w:tblStylePr w:type="lastRow">
      <w:rPr>
        <w:b w:val="1"/>
        <w:bCs w:val="1"/>
      </w:rPr>
      <w:tblPr/>
      <w:tcPr>
        <w:tcBorders>
          <w:top w:color="eab290"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f8e5da" w:themeFill="accent2" w:themeFillTint="000033" w:val="clear"/>
      </w:tcPr>
    </w:tblStylePr>
    <w:tblStylePr w:type="band1Horz">
      <w:tblPr/>
      <w:tcPr>
        <w:shd w:color="auto" w:fill="f8e5da" w:themeFill="accent2" w:themeFillTint="000033" w:val="clear"/>
      </w:tcPr>
    </w:tblStylePr>
  </w:style>
  <w:style w:type="character" w:styleId="PlaceholderText">
    <w:name w:val="Placeholder Text"/>
    <w:basedOn w:val="DefaultParagraphFont"/>
    <w:uiPriority w:val="99"/>
    <w:semiHidden w:val="1"/>
    <w:rsid w:val="0013333F"/>
    <w:rPr>
      <w:color w:val="595959" w:themeColor="text1" w:themeTint="0000A6"/>
    </w:rPr>
  </w:style>
  <w:style w:type="table" w:styleId="GridTable4-Accent1">
    <w:name w:val="Grid Table 4 Accent 1"/>
    <w:basedOn w:val="TableNormal"/>
    <w:uiPriority w:val="49"/>
    <w:pPr>
      <w:spacing w:after="0" w:line="240" w:lineRule="auto"/>
    </w:pPr>
    <w:tblPr>
      <w:tblStyleRowBandSize w:val="1"/>
      <w:tblStyleColBandSize w:val="1"/>
      <w:tblBorders>
        <w:top w:color="bed3e4" w:space="0" w:sz="4" w:themeColor="accent1" w:themeTint="000099" w:val="single"/>
        <w:left w:color="bed3e4" w:space="0" w:sz="4" w:themeColor="accent1" w:themeTint="000099" w:val="single"/>
        <w:bottom w:color="bed3e4" w:space="0" w:sz="4" w:themeColor="accent1" w:themeTint="000099" w:val="single"/>
        <w:right w:color="bed3e4" w:space="0" w:sz="4" w:themeColor="accent1" w:themeTint="000099" w:val="single"/>
        <w:insideH w:color="bed3e4" w:space="0" w:sz="4" w:themeColor="accent1" w:themeTint="000099" w:val="single"/>
        <w:insideV w:color="bed3e4" w:space="0" w:sz="4" w:themeColor="accent1" w:themeTint="000099" w:val="single"/>
      </w:tblBorders>
      <w:tblCellMar>
        <w:top w:w="29.0" w:type="dxa"/>
        <w:bottom w:w="29.0" w:type="dxa"/>
      </w:tblCellMar>
    </w:tblPr>
    <w:tblStylePr w:type="firstRow">
      <w:rPr>
        <w:b w:val="1"/>
        <w:bCs w:val="1"/>
        <w:color w:val="ffffff" w:themeColor="background1"/>
      </w:rPr>
      <w:tblPr/>
      <w:tcPr>
        <w:tcBorders>
          <w:top w:color="94b6d2" w:space="0" w:sz="4" w:themeColor="accent1" w:val="single"/>
          <w:left w:color="94b6d2" w:space="0" w:sz="4" w:themeColor="accent1" w:val="single"/>
          <w:bottom w:color="94b6d2" w:space="0" w:sz="4" w:themeColor="accent1" w:val="single"/>
          <w:right w:color="94b6d2" w:space="0" w:sz="4" w:themeColor="accent1" w:val="single"/>
          <w:insideH w:space="0" w:sz="0" w:val="nil"/>
          <w:insideV w:space="0" w:sz="0" w:val="nil"/>
        </w:tcBorders>
        <w:shd w:color="auto" w:fill="94b6d2" w:themeFill="accent1" w:val="clear"/>
      </w:tcPr>
    </w:tblStylePr>
    <w:tblStylePr w:type="lastRow">
      <w:rPr>
        <w:b w:val="1"/>
        <w:bCs w:val="1"/>
      </w:rPr>
      <w:tblPr/>
      <w:tcPr>
        <w:tcBorders>
          <w:top w:color="94b6d2" w:space="0" w:sz="4" w:themeColor="accent1" w:val="double"/>
        </w:tcBorders>
      </w:tcPr>
    </w:tblStylePr>
    <w:tblStylePr w:type="firstCol">
      <w:rPr>
        <w:b w:val="1"/>
        <w:bCs w:val="1"/>
      </w:rPr>
    </w:tblStylePr>
    <w:tblStylePr w:type="lastCol">
      <w:rPr>
        <w:b w:val="1"/>
        <w:bCs w:val="1"/>
      </w:rPr>
    </w:tblStylePr>
    <w:tblStylePr w:type="band1Vert">
      <w:tblPr/>
      <w:tcPr>
        <w:shd w:color="auto" w:fill="e9f0f6" w:themeFill="accent1" w:themeFillTint="000033" w:val="clear"/>
      </w:tcPr>
    </w:tblStylePr>
    <w:tblStylePr w:type="band1Horz">
      <w:tblPr/>
      <w:tcPr>
        <w:shd w:color="auto" w:fill="e9f0f6" w:themeFill="accent1" w:themeFillTint="000033" w:val="clear"/>
      </w:tcPr>
    </w:tblStylePr>
  </w:style>
  <w:style w:type="table" w:styleId="GridTable4-Accent2">
    <w:name w:val="Grid Table 4 Accent 2"/>
    <w:basedOn w:val="TableNormal"/>
    <w:uiPriority w:val="49"/>
    <w:pPr>
      <w:spacing w:after="0" w:line="240" w:lineRule="auto"/>
    </w:pPr>
    <w:tblPr>
      <w:tblStyleRowBandSize w:val="1"/>
      <w:tblStyleColBandSize w:val="1"/>
      <w:tblBorders>
        <w:top w:color="eab290" w:space="0" w:sz="4" w:themeColor="accent2" w:themeTint="000099" w:val="single"/>
        <w:left w:color="eab290" w:space="0" w:sz="4" w:themeColor="accent2" w:themeTint="000099" w:val="single"/>
        <w:bottom w:color="eab290" w:space="0" w:sz="4" w:themeColor="accent2" w:themeTint="000099" w:val="single"/>
        <w:right w:color="eab290" w:space="0" w:sz="4" w:themeColor="accent2" w:themeTint="000099" w:val="single"/>
        <w:insideH w:color="eab290" w:space="0" w:sz="4" w:themeColor="accent2" w:themeTint="000099" w:val="single"/>
        <w:insideV w:color="eab290" w:space="0" w:sz="4" w:themeColor="accent2" w:themeTint="000099" w:val="single"/>
      </w:tblBorders>
      <w:tblCellMar>
        <w:top w:w="29.0" w:type="dxa"/>
        <w:bottom w:w="29.0" w:type="dxa"/>
      </w:tblCellMar>
    </w:tblPr>
    <w:tblStylePr w:type="firstRow">
      <w:rPr>
        <w:b w:val="1"/>
        <w:bCs w:val="1"/>
        <w:color w:val="ffffff" w:themeColor="background1"/>
      </w:rPr>
      <w:tblPr/>
      <w:tcPr>
        <w:tcBorders>
          <w:top w:color="dd8047" w:space="0" w:sz="4" w:themeColor="accent2" w:val="single"/>
          <w:left w:color="dd8047" w:space="0" w:sz="4" w:themeColor="accent2" w:val="single"/>
          <w:bottom w:color="dd8047" w:space="0" w:sz="4" w:themeColor="accent2" w:val="single"/>
          <w:right w:color="dd8047" w:space="0" w:sz="4" w:themeColor="accent2" w:val="single"/>
          <w:insideH w:space="0" w:sz="0" w:val="nil"/>
          <w:insideV w:space="0" w:sz="0" w:val="nil"/>
        </w:tcBorders>
        <w:shd w:color="auto" w:fill="dd8047" w:themeFill="accent2" w:val="clear"/>
      </w:tcPr>
    </w:tblStylePr>
    <w:tblStylePr w:type="lastRow">
      <w:rPr>
        <w:b w:val="1"/>
        <w:bCs w:val="1"/>
      </w:rPr>
      <w:tblPr/>
      <w:tcPr>
        <w:tcBorders>
          <w:top w:color="dd8047" w:space="0" w:sz="4" w:themeColor="accent2" w:val="double"/>
        </w:tcBorders>
      </w:tcPr>
    </w:tblStylePr>
    <w:tblStylePr w:type="firstCol">
      <w:rPr>
        <w:b w:val="1"/>
        <w:bCs w:val="1"/>
      </w:rPr>
    </w:tblStylePr>
    <w:tblStylePr w:type="lastCol">
      <w:rPr>
        <w:b w:val="1"/>
        <w:bCs w:val="1"/>
      </w:rPr>
    </w:tblStylePr>
    <w:tblStylePr w:type="band1Vert">
      <w:tblPr/>
      <w:tcPr>
        <w:shd w:color="auto" w:fill="f8e5da" w:themeFill="accent2" w:themeFillTint="000033" w:val="clear"/>
      </w:tcPr>
    </w:tblStylePr>
    <w:tblStylePr w:type="band1Horz">
      <w:tblPr/>
      <w:tcPr>
        <w:shd w:color="auto" w:fill="f8e5da" w:themeFill="accent2" w:themeFillTint="000033" w:val="clear"/>
      </w:tcPr>
    </w:tblStylePr>
  </w:style>
  <w:style w:type="table" w:styleId="PlainTable4">
    <w:name w:val="Plain Table 4"/>
    <w:basedOn w:val="TableNormal"/>
    <w:uiPriority w:val="44"/>
    <w:pPr>
      <w:spacing w:after="0" w:line="240" w:lineRule="auto"/>
    </w:pPr>
    <w:tblPr>
      <w:tblStyleRowBandSize w:val="1"/>
      <w:tblStyleColBandSize w:val="1"/>
      <w:tblCellMar>
        <w:top w:w="29.0" w:type="dxa"/>
        <w:bottom w:w="29.0" w:type="dxa"/>
      </w:tblCellMar>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color="d5d1d1" w:space="0" w:sz="4" w:themeColor="accent6" w:themeTint="000066" w:val="single"/>
        <w:left w:color="d5d1d1" w:space="0" w:sz="4" w:themeColor="accent6" w:themeTint="000066" w:val="single"/>
        <w:bottom w:color="d5d1d1" w:space="0" w:sz="4" w:themeColor="accent6" w:themeTint="000066" w:val="single"/>
        <w:right w:color="d5d1d1" w:space="0" w:sz="4" w:themeColor="accent6" w:themeTint="000066" w:val="single"/>
        <w:insideH w:color="d5d1d1" w:space="0" w:sz="4" w:themeColor="accent6" w:themeTint="000066" w:val="single"/>
        <w:insideV w:color="d5d1d1" w:space="0" w:sz="4" w:themeColor="accent6" w:themeTint="000066" w:val="single"/>
      </w:tblBorders>
      <w:tblCellMar>
        <w:top w:w="29.0" w:type="dxa"/>
        <w:bottom w:w="29.0" w:type="dxa"/>
      </w:tblCellMar>
    </w:tblPr>
    <w:tblStylePr w:type="firstRow">
      <w:rPr>
        <w:b w:val="1"/>
        <w:bCs w:val="1"/>
      </w:rPr>
      <w:tblPr/>
      <w:tcPr>
        <w:tcBorders>
          <w:bottom w:color="c0baba" w:space="0" w:sz="12" w:themeColor="accent6" w:themeTint="000099" w:val="single"/>
        </w:tcBorders>
      </w:tcPr>
    </w:tblStylePr>
    <w:tblStylePr w:type="lastRow">
      <w:rPr>
        <w:b w:val="1"/>
        <w:bCs w:val="1"/>
      </w:rPr>
      <w:tblPr/>
      <w:tcPr>
        <w:tcBorders>
          <w:top w:color="c0baba" w:space="0" w:sz="2" w:themeColor="accent6" w:themeTint="000099" w:val="double"/>
        </w:tcBorders>
      </w:tcPr>
    </w:tblStylePr>
    <w:tblStylePr w:type="firstCol">
      <w:rPr>
        <w:b w:val="1"/>
        <w:bCs w:val="1"/>
      </w:rPr>
    </w:tblStylePr>
    <w:tblStylePr w:type="lastCol">
      <w:rPr>
        <w:b w:val="1"/>
        <w:bCs w:val="1"/>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0" w:type="dxa"/>
        <w:bottom w:w="29.0" w:type="dxa"/>
      </w:tblCellMar>
    </w:tblPr>
    <w:tblStylePr w:type="firstRow">
      <w:rPr>
        <w:b w:val="1"/>
        <w:bCs w:val="1"/>
      </w:rPr>
      <w:tblPr/>
      <w:tcPr>
        <w:tcBorders>
          <w:bottom w:color="c0baba" w:space="0" w:sz="4" w:themeColor="accent6" w:themeTint="000099" w:val="single"/>
        </w:tcBorders>
      </w:tcPr>
    </w:tblStylePr>
    <w:tblStylePr w:type="lastRow">
      <w:rPr>
        <w:b w:val="1"/>
        <w:bCs w:val="1"/>
      </w:rPr>
      <w:tblPr/>
      <w:tcPr>
        <w:tcBorders>
          <w:top w:color="c0baba"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ae8e8" w:themeFill="accent6" w:themeFillTint="000033" w:val="clear"/>
      </w:tcPr>
    </w:tblStylePr>
    <w:tblStylePr w:type="band1Horz">
      <w:tblPr/>
      <w:tcPr>
        <w:shd w:color="auto" w:fill="eae8e8" w:themeFill="accent6" w:themeFillTint="000033" w:val="clear"/>
      </w:tcPr>
    </w:tblStylePr>
  </w:style>
  <w:style w:type="paragraph" w:styleId="Header">
    <w:name w:val="header"/>
    <w:basedOn w:val="Normal"/>
    <w:link w:val="HeaderChar"/>
    <w:uiPriority w:val="2"/>
    <w:unhideWhenUsed w:val="1"/>
    <w:pPr>
      <w:spacing w:after="0"/>
      <w:jc w:val="right"/>
    </w:pPr>
  </w:style>
  <w:style w:type="character" w:styleId="HeaderChar" w:customStyle="1">
    <w:name w:val="Header Char"/>
    <w:basedOn w:val="DefaultParagraphFont"/>
    <w:link w:val="Header"/>
    <w:uiPriority w:val="2"/>
  </w:style>
  <w:style w:type="paragraph" w:styleId="Footer">
    <w:name w:val="footer"/>
    <w:basedOn w:val="Normal"/>
    <w:link w:val="FooterChar"/>
    <w:uiPriority w:val="99"/>
    <w:unhideWhenUsed w:val="1"/>
    <w:pPr>
      <w:spacing w:after="0"/>
    </w:pPr>
  </w:style>
  <w:style w:type="character" w:styleId="FooterChar" w:customStyle="1">
    <w:name w:val="Footer Char"/>
    <w:basedOn w:val="DefaultParagraphFont"/>
    <w:link w:val="Footer"/>
    <w:uiPriority w:val="99"/>
  </w:style>
  <w:style w:type="table" w:styleId="Noborders" w:customStyle="1">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color="94b6d2" w:space="0" w:sz="4" w:themeColor="accent1" w:val="single"/>
      </w:tblBorders>
      <w:tblCellMar>
        <w:top w:w="29.0" w:type="dxa"/>
        <w:bottom w:w="29.0" w:type="dxa"/>
      </w:tblCellMar>
    </w:tblPr>
    <w:tblStylePr w:type="firstRow">
      <w:rPr>
        <w:b w:val="0"/>
        <w:bCs w:val="1"/>
      </w:rPr>
      <w:tblPr/>
      <w:tcPr>
        <w:tcBorders>
          <w:top w:space="0" w:sz="0" w:val="nil"/>
          <w:left w:space="0" w:sz="0" w:val="nil"/>
          <w:bottom w:color="94b6d2" w:space="0" w:sz="12" w:themeColor="accent1" w:val="single"/>
          <w:right w:space="0" w:sz="0" w:val="nil"/>
          <w:insideH w:space="0" w:sz="0" w:val="nil"/>
          <w:insideV w:space="0" w:sz="0" w:val="nil"/>
          <w:tl2br w:space="0" w:sz="0" w:val="nil"/>
          <w:tr2bl w:space="0" w:sz="0" w:val="nil"/>
        </w:tcBorders>
      </w:tcPr>
    </w:tblStylePr>
    <w:tblStylePr w:type="lastRow">
      <w:rPr>
        <w:b w:val="1"/>
        <w:bCs w:val="1"/>
      </w:rPr>
      <w:tblPr/>
      <w:tcPr>
        <w:tcBorders>
          <w:top w:color="bed3e4" w:space="0" w:sz="2" w:themeColor="accent1" w:themeTint="000099" w:val="double"/>
        </w:tcBorders>
      </w:tcPr>
    </w:tblStylePr>
    <w:tblStylePr w:type="firstCol">
      <w:rPr>
        <w:b w:val="0"/>
        <w:bCs w:val="1"/>
      </w:rPr>
    </w:tblStylePr>
    <w:tblStylePr w:type="lastCol">
      <w:rPr>
        <w:b w:val="0"/>
        <w:bCs w:val="1"/>
      </w:rPr>
    </w:tblStylePr>
  </w:style>
  <w:style w:type="table" w:styleId="GridTable2-Accent1">
    <w:name w:val="Grid Table 2 Accent 1"/>
    <w:basedOn w:val="TableNormal"/>
    <w:uiPriority w:val="47"/>
    <w:pPr>
      <w:spacing w:after="0" w:line="240" w:lineRule="auto"/>
    </w:pPr>
    <w:tblPr>
      <w:tblStyleRowBandSize w:val="1"/>
      <w:tblStyleColBandSize w:val="1"/>
      <w:tblBorders>
        <w:top w:color="bed3e4" w:space="0" w:sz="2" w:themeColor="accent1" w:themeTint="000099" w:val="single"/>
        <w:bottom w:color="bed3e4" w:space="0" w:sz="2" w:themeColor="accent1" w:themeTint="000099" w:val="single"/>
        <w:insideH w:color="bed3e4" w:space="0" w:sz="2" w:themeColor="accent1" w:themeTint="000099" w:val="single"/>
        <w:insideV w:color="bed3e4" w:space="0" w:sz="2" w:themeColor="accent1" w:themeTint="000099" w:val="single"/>
      </w:tblBorders>
      <w:tblCellMar>
        <w:top w:w="29.0" w:type="dxa"/>
        <w:bottom w:w="29.0" w:type="dxa"/>
      </w:tblCellMar>
    </w:tblPr>
    <w:tblStylePr w:type="firstRow">
      <w:rPr>
        <w:b w:val="1"/>
        <w:bCs w:val="1"/>
      </w:rPr>
      <w:tblPr/>
      <w:tcPr>
        <w:tcBorders>
          <w:top w:space="0" w:sz="0" w:val="nil"/>
          <w:bottom w:color="bed3e4"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bed3e4"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9f0f6" w:themeFill="accent1" w:themeFillTint="000033" w:val="clear"/>
      </w:tcPr>
    </w:tblStylePr>
    <w:tblStylePr w:type="band1Horz">
      <w:tblPr/>
      <w:tcPr>
        <w:shd w:color="auto" w:fill="e9f0f6" w:themeFill="accent1" w:themeFillTint="000033" w:val="clear"/>
      </w:tcPr>
    </w:tblStylePr>
  </w:style>
  <w:style w:type="paragraph" w:styleId="Logo" w:customStyle="1">
    <w:name w:val="Logo"/>
    <w:basedOn w:val="Normal"/>
    <w:uiPriority w:val="1"/>
    <w:rsid w:val="00E279B8"/>
    <w:pPr>
      <w:spacing w:after="1440" w:before="5160" w:line="720" w:lineRule="auto"/>
      <w:jc w:val="right"/>
    </w:pPr>
    <w:rPr>
      <w:noProof w:val="1"/>
      <w:color w:val="59473f" w:themeColor="text2" w:themeShade="0000BF"/>
      <w:sz w:val="52"/>
      <w:szCs w:val="52"/>
    </w:rPr>
  </w:style>
  <w:style w:type="paragraph" w:styleId="z-TopofForm">
    <w:name w:val="HTML Top of Form"/>
    <w:basedOn w:val="Normal"/>
    <w:next w:val="Normal"/>
    <w:link w:val="z-TopofFormChar"/>
    <w:hidden w:val="1"/>
    <w:uiPriority w:val="99"/>
    <w:semiHidden w:val="1"/>
    <w:unhideWhenUsed w:val="1"/>
    <w:pPr>
      <w:pBdr>
        <w:bottom w:color="auto" w:space="1" w:sz="6" w:val="single"/>
      </w:pBdr>
      <w:spacing w:after="0"/>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Pr>
      <w:rFonts w:ascii="Arial" w:cs="Arial" w:hAnsi="Arial"/>
      <w:vanish w:val="1"/>
      <w:sz w:val="16"/>
      <w:szCs w:val="16"/>
    </w:rPr>
  </w:style>
  <w:style w:type="paragraph" w:styleId="z-BottomofForm">
    <w:name w:val="HTML Bottom of Form"/>
    <w:basedOn w:val="Normal"/>
    <w:next w:val="Normal"/>
    <w:link w:val="z-BottomofFormChar"/>
    <w:hidden w:val="1"/>
    <w:uiPriority w:val="99"/>
    <w:semiHidden w:val="1"/>
    <w:unhideWhenUsed w:val="1"/>
    <w:pPr>
      <w:pBdr>
        <w:top w:color="auto" w:space="1" w:sz="6" w:val="single"/>
      </w:pBdr>
      <w:spacing w:after="0"/>
      <w:jc w:val="center"/>
    </w:pPr>
    <w:rPr>
      <w:rFonts w:ascii="Arial" w:cs="Arial" w:hAnsi="Arial"/>
      <w:vanish w:val="1"/>
      <w:sz w:val="16"/>
      <w:szCs w:val="16"/>
    </w:rPr>
  </w:style>
  <w:style w:type="character" w:styleId="z-BottomofFormChar" w:customStyle="1">
    <w:name w:val="z-Bottom of Form Char"/>
    <w:basedOn w:val="DefaultParagraphFont"/>
    <w:link w:val="z-BottomofForm"/>
    <w:uiPriority w:val="99"/>
    <w:semiHidden w:val="1"/>
    <w:rPr>
      <w:rFonts w:ascii="Arial" w:cs="Arial" w:hAnsi="Arial"/>
      <w:vanish w:val="1"/>
      <w:sz w:val="16"/>
      <w:szCs w:val="16"/>
    </w:rPr>
  </w:style>
  <w:style w:type="paragraph" w:styleId="Contactinfo" w:customStyle="1">
    <w:name w:val="Contact info"/>
    <w:basedOn w:val="Normal"/>
    <w:uiPriority w:val="1"/>
    <w:pPr>
      <w:spacing w:after="0"/>
      <w:jc w:val="right"/>
    </w:pPr>
    <w:rPr>
      <w:caps w:val="1"/>
    </w:rPr>
  </w:style>
  <w:style w:type="table" w:styleId="GridTable3-Accent3">
    <w:name w:val="Grid Table 3 Accent 3"/>
    <w:basedOn w:val="TableNormal"/>
    <w:uiPriority w:val="48"/>
    <w:pPr>
      <w:spacing w:after="0" w:line="240" w:lineRule="auto"/>
    </w:pPr>
    <w:tblPr>
      <w:tblStyleRowBandSize w:val="1"/>
      <w:tblStyleColBandSize w:val="1"/>
      <w:tblBorders>
        <w:top w:color="c8ccb3" w:space="0" w:sz="4" w:themeColor="accent3" w:themeTint="000099" w:val="single"/>
        <w:left w:color="c8ccb3" w:space="0" w:sz="4" w:themeColor="accent3" w:themeTint="000099" w:val="single"/>
        <w:bottom w:color="c8ccb3" w:space="0" w:sz="4" w:themeColor="accent3" w:themeTint="000099" w:val="single"/>
        <w:right w:color="c8ccb3" w:space="0" w:sz="4" w:themeColor="accent3" w:themeTint="000099" w:val="single"/>
        <w:insideH w:color="c8ccb3" w:space="0" w:sz="4" w:themeColor="accent3" w:themeTint="000099" w:val="single"/>
        <w:insideV w:color="c8ccb3"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ee5" w:themeFill="accent3" w:themeFillTint="000033" w:val="clear"/>
      </w:tcPr>
    </w:tblStylePr>
    <w:tblStylePr w:type="band1Horz">
      <w:tblPr/>
      <w:tcPr>
        <w:shd w:color="auto" w:fill="edeee5" w:themeFill="accent3" w:themeFillTint="000033" w:val="clear"/>
      </w:tcPr>
    </w:tblStylePr>
    <w:tblStylePr w:type="neCell">
      <w:tblPr/>
      <w:tcPr>
        <w:tcBorders>
          <w:bottom w:color="c8ccb3" w:space="0" w:sz="4" w:themeColor="accent3" w:themeTint="000099" w:val="single"/>
        </w:tcBorders>
      </w:tcPr>
    </w:tblStylePr>
    <w:tblStylePr w:type="nwCell">
      <w:tblPr/>
      <w:tcPr>
        <w:tcBorders>
          <w:bottom w:color="c8ccb3" w:space="0" w:sz="4" w:themeColor="accent3" w:themeTint="000099" w:val="single"/>
        </w:tcBorders>
      </w:tcPr>
    </w:tblStylePr>
    <w:tblStylePr w:type="seCell">
      <w:tblPr/>
      <w:tcPr>
        <w:tcBorders>
          <w:top w:color="c8ccb3" w:space="0" w:sz="4" w:themeColor="accent3" w:themeTint="000099" w:val="single"/>
        </w:tcBorders>
      </w:tcPr>
    </w:tblStylePr>
    <w:tblStylePr w:type="swCell">
      <w:tblPr/>
      <w:tcPr>
        <w:tcBorders>
          <w:top w:color="c8ccb3" w:space="0" w:sz="4" w:themeColor="accent3" w:themeTint="000099" w:val="single"/>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ee5"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b81"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b81"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b81"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b81" w:themeFill="accent3" w:val="clear"/>
      </w:tcPr>
    </w:tblStylePr>
    <w:tblStylePr w:type="band1Vert">
      <w:tblPr/>
      <w:tcPr>
        <w:shd w:color="auto" w:fill="dbddcc" w:themeFill="accent3" w:themeFillTint="000066" w:val="clear"/>
      </w:tcPr>
    </w:tblStylePr>
    <w:tblStylePr w:type="band1Horz">
      <w:tblPr/>
      <w:tcPr>
        <w:shd w:color="auto" w:fill="dbddcc" w:themeFill="accent3" w:themeFillTint="000066" w:val="clear"/>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color="dbddcc" w:space="0" w:sz="4" w:themeColor="accent3" w:themeTint="000066" w:val="single"/>
        <w:left w:color="dbddcc" w:space="0" w:sz="4" w:themeColor="accent3" w:themeTint="000066" w:val="single"/>
        <w:bottom w:color="dbddcc" w:space="0" w:sz="4" w:themeColor="accent3" w:themeTint="000066" w:val="single"/>
        <w:right w:color="dbddcc" w:space="0" w:sz="4" w:themeColor="accent3" w:themeTint="000066" w:val="single"/>
        <w:insideH w:color="dbddcc" w:space="0" w:sz="4" w:themeColor="accent3" w:themeTint="000066" w:val="single"/>
        <w:insideV w:color="dbddcc" w:space="0" w:sz="4" w:themeColor="accent3" w:themeTint="000066" w:val="single"/>
      </w:tblBorders>
    </w:tblPr>
    <w:tblStylePr w:type="firstRow">
      <w:rPr>
        <w:b w:val="1"/>
        <w:bCs w:val="1"/>
      </w:rPr>
      <w:tblPr/>
      <w:tcPr>
        <w:tcBorders>
          <w:bottom w:color="c8ccb3" w:space="0" w:sz="12" w:themeColor="accent3" w:themeTint="000099" w:val="single"/>
        </w:tcBorders>
      </w:tcPr>
    </w:tblStylePr>
    <w:tblStylePr w:type="lastRow">
      <w:rPr>
        <w:b w:val="1"/>
        <w:bCs w:val="1"/>
      </w:rPr>
      <w:tblPr/>
      <w:tcPr>
        <w:tcBorders>
          <w:top w:color="c8ccb3" w:space="0" w:sz="2" w:themeColor="accent3" w:themeTint="000099" w:val="double"/>
        </w:tcBorders>
      </w:tcPr>
    </w:tblStylePr>
    <w:tblStylePr w:type="firstCol">
      <w:rPr>
        <w:b w:val="1"/>
        <w:bCs w:val="1"/>
      </w:rPr>
    </w:tblStylePr>
    <w:tblStylePr w:type="lastCol">
      <w:rPr>
        <w:b w:val="1"/>
        <w:bCs w:val="1"/>
      </w:rPr>
    </w:tblStylePr>
  </w:style>
  <w:style w:type="character" w:styleId="Strong">
    <w:name w:val="Strong"/>
    <w:basedOn w:val="DefaultParagraphFont"/>
    <w:uiPriority w:val="22"/>
    <w:qFormat w:val="1"/>
    <w:rsid w:val="00A03CB0"/>
    <w:rPr>
      <w:b w:val="1"/>
      <w:bCs w:val="1"/>
    </w:rPr>
  </w:style>
  <w:style w:type="paragraph" w:styleId="Tabletext" w:customStyle="1">
    <w:name w:val="Table text"/>
    <w:basedOn w:val="Normal"/>
    <w:uiPriority w:val="1"/>
    <w:pPr>
      <w:spacing w:after="0" w:before="120"/>
    </w:pPr>
  </w:style>
  <w:style w:type="table" w:styleId="ListTable6Colorful-Accent2">
    <w:name w:val="List Table 6 Colorful Accent 2"/>
    <w:basedOn w:val="TableNormal"/>
    <w:uiPriority w:val="51"/>
    <w:pPr>
      <w:spacing w:after="0" w:line="240" w:lineRule="auto"/>
    </w:pPr>
    <w:rPr>
      <w:color w:val="b85a22" w:themeColor="accent2" w:themeShade="0000BF"/>
    </w:rPr>
    <w:tblPr>
      <w:tblStyleRowBandSize w:val="1"/>
      <w:tblStyleColBandSize w:val="1"/>
      <w:tblBorders>
        <w:top w:color="dd8047" w:space="0" w:sz="4" w:themeColor="accent2" w:val="single"/>
        <w:bottom w:color="dd8047" w:space="0" w:sz="4" w:themeColor="accent2" w:val="single"/>
      </w:tblBorders>
    </w:tblPr>
    <w:tblStylePr w:type="firstRow">
      <w:rPr>
        <w:b w:val="1"/>
        <w:bCs w:val="1"/>
      </w:rPr>
      <w:tblPr/>
      <w:tcPr>
        <w:tcBorders>
          <w:bottom w:color="dd8047" w:space="0" w:sz="4" w:themeColor="accent2" w:val="single"/>
        </w:tcBorders>
      </w:tcPr>
    </w:tblStylePr>
    <w:tblStylePr w:type="lastRow">
      <w:rPr>
        <w:b w:val="1"/>
        <w:bCs w:val="1"/>
      </w:rPr>
      <w:tblPr/>
      <w:tcPr>
        <w:tcBorders>
          <w:top w:color="dd8047" w:space="0" w:sz="4" w:themeColor="accent2" w:val="double"/>
        </w:tcBorders>
      </w:tcPr>
    </w:tblStylePr>
    <w:tblStylePr w:type="firstCol">
      <w:rPr>
        <w:b w:val="1"/>
        <w:bCs w:val="1"/>
      </w:rPr>
    </w:tblStylePr>
    <w:tblStylePr w:type="lastCol">
      <w:rPr>
        <w:b w:val="1"/>
        <w:bCs w:val="1"/>
      </w:rPr>
    </w:tblStylePr>
    <w:tblStylePr w:type="band1Vert">
      <w:tblPr/>
      <w:tcPr>
        <w:shd w:color="auto" w:fill="f8e5da" w:themeFill="accent2" w:themeFillTint="000033" w:val="clear"/>
      </w:tcPr>
    </w:tblStylePr>
    <w:tblStylePr w:type="band1Horz">
      <w:tblPr/>
      <w:tcPr>
        <w:shd w:color="auto" w:fill="f8e5da" w:themeFill="accent2" w:themeFillTint="000033" w:val="clear"/>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color="f1cbb5" w:space="0" w:sz="4" w:themeColor="accent2" w:themeTint="000066" w:val="single"/>
        <w:left w:color="f1cbb5" w:space="0" w:sz="4" w:themeColor="accent2" w:themeTint="000066" w:val="single"/>
        <w:bottom w:color="f1cbb5" w:space="0" w:sz="4" w:themeColor="accent2" w:themeTint="000066" w:val="single"/>
        <w:right w:color="f1cbb5" w:space="0" w:sz="4" w:themeColor="accent2" w:themeTint="000066" w:val="single"/>
        <w:insideH w:color="f1cbb5" w:space="0" w:sz="4" w:themeColor="accent2" w:themeTint="000066" w:val="single"/>
        <w:insideV w:color="f1cbb5" w:space="0" w:sz="4" w:themeColor="accent2" w:themeTint="000066" w:val="single"/>
      </w:tblBorders>
    </w:tblPr>
    <w:tblStylePr w:type="firstRow">
      <w:rPr>
        <w:b w:val="1"/>
        <w:bCs w:val="1"/>
      </w:rPr>
      <w:tblPr/>
      <w:tcPr>
        <w:tcBorders>
          <w:bottom w:color="eab290" w:space="0" w:sz="12" w:themeColor="accent2" w:themeTint="000099" w:val="single"/>
        </w:tcBorders>
      </w:tcPr>
    </w:tblStylePr>
    <w:tblStylePr w:type="lastRow">
      <w:rPr>
        <w:b w:val="1"/>
        <w:bCs w:val="1"/>
      </w:rPr>
      <w:tblPr/>
      <w:tcPr>
        <w:tcBorders>
          <w:top w:color="eab290" w:space="0" w:sz="2" w:themeColor="accent2" w:themeTint="000099" w:val="double"/>
        </w:tcBorders>
      </w:tcPr>
    </w:tblStylePr>
    <w:tblStylePr w:type="firstCol">
      <w:rPr>
        <w:b w:val="1"/>
        <w:bCs w:val="1"/>
      </w:rPr>
    </w:tblStylePr>
    <w:tblStylePr w:type="lastCol">
      <w:rPr>
        <w:b w:val="1"/>
        <w:bCs w:val="1"/>
      </w:rPr>
    </w:tblStylePr>
  </w:style>
  <w:style w:type="paragraph" w:styleId="ListBullet">
    <w:name w:val="List Bullet"/>
    <w:basedOn w:val="Normal"/>
    <w:uiPriority w:val="1"/>
    <w:unhideWhenUsed w:val="1"/>
    <w:pPr>
      <w:numPr>
        <w:numId w:val="1"/>
      </w:numPr>
    </w:pPr>
  </w:style>
  <w:style w:type="paragraph" w:styleId="Image" w:customStyle="1">
    <w:name w:val="Image"/>
    <w:basedOn w:val="Normal"/>
    <w:rsid w:val="00E279B8"/>
    <w:pPr>
      <w:spacing w:after="0" w:before="5760" w:line="720" w:lineRule="auto"/>
      <w:jc w:val="right"/>
    </w:pPr>
  </w:style>
  <w:style w:type="character" w:styleId="IntenseEmphasis">
    <w:name w:val="Intense Emphasis"/>
    <w:basedOn w:val="DefaultParagraphFont"/>
    <w:uiPriority w:val="21"/>
    <w:qFormat w:val="1"/>
    <w:rsid w:val="00A03CB0"/>
    <w:rPr>
      <w:b w:val="1"/>
      <w:bCs w:val="1"/>
      <w:i w:val="1"/>
      <w:iCs w:val="1"/>
      <w:color w:val="auto"/>
    </w:rPr>
  </w:style>
  <w:style w:type="paragraph" w:styleId="IntenseQuote">
    <w:name w:val="Intense Quote"/>
    <w:basedOn w:val="Normal"/>
    <w:next w:val="Normal"/>
    <w:link w:val="IntenseQuoteChar"/>
    <w:uiPriority w:val="30"/>
    <w:qFormat w:val="1"/>
    <w:rsid w:val="00A03CB0"/>
    <w:pPr>
      <w:spacing w:before="160" w:line="276" w:lineRule="auto"/>
      <w:ind w:left="936" w:right="936"/>
      <w:jc w:val="center"/>
    </w:pPr>
    <w:rPr>
      <w:rFonts w:asciiTheme="majorHAnsi" w:cstheme="majorBidi" w:eastAsiaTheme="majorEastAsia" w:hAnsiTheme="majorHAnsi"/>
      <w:caps w:val="1"/>
      <w:color w:val="548ab7" w:themeColor="accent1" w:themeShade="0000BF"/>
      <w:sz w:val="28"/>
      <w:szCs w:val="28"/>
    </w:rPr>
  </w:style>
  <w:style w:type="character" w:styleId="IntenseQuoteChar" w:customStyle="1">
    <w:name w:val="Intense Quote Char"/>
    <w:basedOn w:val="DefaultParagraphFont"/>
    <w:link w:val="IntenseQuote"/>
    <w:uiPriority w:val="30"/>
    <w:rsid w:val="00A03CB0"/>
    <w:rPr>
      <w:rFonts w:asciiTheme="majorHAnsi" w:cstheme="majorBidi" w:eastAsiaTheme="majorEastAsia" w:hAnsiTheme="majorHAnsi"/>
      <w:caps w:val="1"/>
      <w:color w:val="548ab7" w:themeColor="accent1" w:themeShade="0000BF"/>
      <w:sz w:val="28"/>
      <w:szCs w:val="28"/>
    </w:rPr>
  </w:style>
  <w:style w:type="character" w:styleId="IntenseReference">
    <w:name w:val="Intense Reference"/>
    <w:basedOn w:val="DefaultParagraphFont"/>
    <w:uiPriority w:val="32"/>
    <w:qFormat w:val="1"/>
    <w:rsid w:val="00A03CB0"/>
    <w:rPr>
      <w:b w:val="1"/>
      <w:bCs w:val="1"/>
      <w:caps w:val="0"/>
      <w:smallCaps w:val="1"/>
      <w:color w:val="auto"/>
      <w:spacing w:val="0"/>
      <w:u w:val="single"/>
    </w:rPr>
  </w:style>
  <w:style w:type="paragraph" w:styleId="BlockText">
    <w:name w:val="Block Text"/>
    <w:basedOn w:val="Normal"/>
    <w:uiPriority w:val="99"/>
    <w:semiHidden w:val="1"/>
    <w:unhideWhenUsed w:val="1"/>
    <w:rsid w:val="0013333F"/>
    <w:pPr>
      <w:pBdr>
        <w:top w:color="355d7e" w:shadow="1" w:space="10" w:sz="2" w:themeColor="accent1" w:themeShade="000080" w:val="single"/>
        <w:left w:color="355d7e" w:shadow="1" w:space="10" w:sz="2" w:themeColor="accent1" w:themeShade="000080" w:val="single"/>
        <w:bottom w:color="355d7e" w:shadow="1" w:space="10" w:sz="2" w:themeColor="accent1" w:themeShade="000080" w:val="single"/>
        <w:right w:color="355d7e" w:shadow="1" w:space="10" w:sz="2" w:themeColor="accent1" w:themeShade="000080" w:val="single"/>
      </w:pBdr>
      <w:ind w:left="1152" w:right="1152"/>
    </w:pPr>
    <w:rPr>
      <w:i w:val="1"/>
      <w:iCs w:val="1"/>
      <w:color w:val="355d7e" w:themeColor="accent1" w:themeShade="000080"/>
    </w:rPr>
  </w:style>
  <w:style w:type="character" w:styleId="Hyperlink">
    <w:name w:val="Hyperlink"/>
    <w:basedOn w:val="DefaultParagraphFont"/>
    <w:uiPriority w:val="99"/>
    <w:semiHidden w:val="1"/>
    <w:unhideWhenUsed w:val="1"/>
    <w:rsid w:val="0013333F"/>
    <w:rPr>
      <w:color w:val="7c5f1d" w:themeColor="accent4" w:themeShade="000080"/>
      <w:u w:val="single"/>
    </w:rPr>
  </w:style>
  <w:style w:type="character" w:styleId="UnresolvedMention" w:customStyle="1">
    <w:name w:val="Unresolved Mention"/>
    <w:basedOn w:val="DefaultParagraphFont"/>
    <w:uiPriority w:val="99"/>
    <w:semiHidden w:val="1"/>
    <w:unhideWhenUsed w:val="1"/>
    <w:rsid w:val="0013333F"/>
    <w:rPr>
      <w:color w:val="595959" w:themeColor="text1" w:themeTint="0000A6"/>
      <w:shd w:color="auto" w:fill="e6e6e6" w:val="clear"/>
    </w:rPr>
  </w:style>
  <w:style w:type="character" w:styleId="Emphasis">
    <w:name w:val="Emphasis"/>
    <w:basedOn w:val="DefaultParagraphFont"/>
    <w:uiPriority w:val="20"/>
    <w:qFormat w:val="1"/>
    <w:rsid w:val="00A03CB0"/>
    <w:rPr>
      <w:i w:val="1"/>
      <w:iCs w:val="1"/>
      <w:color w:val="000000" w:themeColor="text1"/>
    </w:rPr>
  </w:style>
  <w:style w:type="paragraph" w:styleId="NoSpacing">
    <w:name w:val="No Spacing"/>
    <w:uiPriority w:val="1"/>
    <w:qFormat w:val="1"/>
    <w:rsid w:val="00A03CB0"/>
    <w:pPr>
      <w:spacing w:after="0" w:line="240" w:lineRule="auto"/>
    </w:pPr>
  </w:style>
  <w:style w:type="paragraph" w:styleId="Quote">
    <w:name w:val="Quote"/>
    <w:basedOn w:val="Normal"/>
    <w:next w:val="Normal"/>
    <w:link w:val="QuoteChar"/>
    <w:uiPriority w:val="29"/>
    <w:qFormat w:val="1"/>
    <w:rsid w:val="00A03CB0"/>
    <w:pPr>
      <w:spacing w:before="160"/>
      <w:ind w:left="720" w:right="720"/>
      <w:jc w:val="center"/>
    </w:pPr>
    <w:rPr>
      <w:i w:val="1"/>
      <w:iCs w:val="1"/>
      <w:color w:val="80865a" w:themeColor="accent3" w:themeShade="0000BF"/>
      <w:sz w:val="24"/>
      <w:szCs w:val="24"/>
    </w:rPr>
  </w:style>
  <w:style w:type="character" w:styleId="QuoteChar" w:customStyle="1">
    <w:name w:val="Quote Char"/>
    <w:basedOn w:val="DefaultParagraphFont"/>
    <w:link w:val="Quote"/>
    <w:uiPriority w:val="29"/>
    <w:rsid w:val="00A03CB0"/>
    <w:rPr>
      <w:i w:val="1"/>
      <w:iCs w:val="1"/>
      <w:color w:val="80865a" w:themeColor="accent3" w:themeShade="0000BF"/>
      <w:sz w:val="24"/>
      <w:szCs w:val="24"/>
    </w:rPr>
  </w:style>
  <w:style w:type="character" w:styleId="SubtleEmphasis">
    <w:name w:val="Subtle Emphasis"/>
    <w:basedOn w:val="DefaultParagraphFont"/>
    <w:uiPriority w:val="19"/>
    <w:qFormat w:val="1"/>
    <w:rsid w:val="00A03CB0"/>
    <w:rPr>
      <w:i w:val="1"/>
      <w:iCs w:val="1"/>
      <w:color w:val="595959" w:themeColor="text1" w:themeTint="0000A6"/>
    </w:rPr>
  </w:style>
  <w:style w:type="character" w:styleId="SubtleReference">
    <w:name w:val="Subtle Reference"/>
    <w:basedOn w:val="DefaultParagraphFont"/>
    <w:uiPriority w:val="31"/>
    <w:qFormat w:val="1"/>
    <w:rsid w:val="00A03CB0"/>
    <w:rPr>
      <w:caps w:val="0"/>
      <w:smallCaps w:val="1"/>
      <w:color w:val="404040" w:themeColor="text1" w:themeTint="0000BF"/>
      <w:spacing w:val="0"/>
      <w:u w:color="7f7f7f" w:themeColor="text1" w:themeTint="000080" w:val="single"/>
    </w:rPr>
  </w:style>
  <w:style w:type="character" w:styleId="BookTitle">
    <w:name w:val="Book Title"/>
    <w:basedOn w:val="DefaultParagraphFont"/>
    <w:uiPriority w:val="33"/>
    <w:qFormat w:val="1"/>
    <w:rsid w:val="00A03CB0"/>
    <w:rPr>
      <w:b w:val="1"/>
      <w:bCs w:val="1"/>
      <w:caps w:val="0"/>
      <w:smallCaps w:val="1"/>
      <w:spacing w:val="0"/>
    </w:rPr>
  </w:style>
  <w:style w:type="paragraph" w:styleId="NormalWeb">
    <w:name w:val="Normal (Web)"/>
    <w:basedOn w:val="Normal"/>
    <w:uiPriority w:val="99"/>
    <w:semiHidden w:val="1"/>
    <w:unhideWhenUsed w:val="1"/>
    <w:rsid w:val="000B7B82"/>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ListParagraph">
    <w:name w:val="List Paragraph"/>
    <w:basedOn w:val="Normal"/>
    <w:uiPriority w:val="34"/>
    <w:qFormat w:val="1"/>
    <w:rsid w:val="007721BC"/>
    <w:pPr>
      <w:ind w:left="720"/>
      <w:contextualSpacing w:val="1"/>
    </w:pPr>
  </w:style>
  <w:style w:type="character" w:styleId="editortnoteditedwurp8" w:customStyle="1">
    <w:name w:val="editor_t__not_edited__wurp8"/>
    <w:basedOn w:val="DefaultParagraphFont"/>
    <w:rsid w:val="00E30F1F"/>
  </w:style>
  <w:style w:type="character" w:styleId="editortaddedltunj" w:customStyle="1">
    <w:name w:val="editor_t__added__ltunj"/>
    <w:basedOn w:val="DefaultParagraphFont"/>
    <w:rsid w:val="00E30F1F"/>
  </w:style>
  <w:style w:type="character" w:styleId="editortnoteditedlongjunnx" w:customStyle="1">
    <w:name w:val="editor_t__not_edited_long__junnx"/>
    <w:basedOn w:val="DefaultParagraphFont"/>
    <w:rsid w:val="00433F5A"/>
  </w:style>
  <w:style w:type="paragraph" w:styleId="BalloonText">
    <w:name w:val="Balloon Text"/>
    <w:basedOn w:val="Normal"/>
    <w:link w:val="BalloonTextChar"/>
    <w:uiPriority w:val="99"/>
    <w:semiHidden w:val="1"/>
    <w:unhideWhenUsed w:val="1"/>
    <w:rsid w:val="00DA38D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A38D1"/>
    <w:rPr>
      <w:rFonts w:ascii="Segoe UI" w:cs="Segoe UI" w:hAnsi="Segoe UI"/>
      <w:sz w:val="18"/>
      <w:szCs w:val="18"/>
    </w:rPr>
  </w:style>
  <w:style w:type="paragraph" w:styleId="Subtitle">
    <w:name w:val="Subtitle"/>
    <w:basedOn w:val="Normal"/>
    <w:next w:val="Normal"/>
    <w:pPr>
      <w:jc w:val="center"/>
    </w:pPr>
    <w:rPr>
      <w:color w:val="775f55"/>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6.jp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6.png"/><Relationship Id="rId32" Type="http://schemas.openxmlformats.org/officeDocument/2006/relationships/header" Target="header2.xml"/><Relationship Id="rId13" Type="http://schemas.openxmlformats.org/officeDocument/2006/relationships/image" Target="media/image24.png"/><Relationship Id="rId12" Type="http://schemas.openxmlformats.org/officeDocument/2006/relationships/image" Target="media/image14.pn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w9ffhLkURH/3XJVz2pcEL4YRQ==">CgMxLjAyDmgudjMwNzRtb3NoOHFoOAByITFMWUQyQUd5U1BReEE4VUxVM0RsMUh5YWU4ZU8wQXVnMg==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2025-07-16T09:44:00Z</dcterms:created>
  <dc:creator>Abhinav Pampana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GrammarlyDocumentId">
    <vt:lpwstr>f2566cda-52b9-4e8c-b9c5-e31b9e813308</vt:lpwstr>
  </property>
</Properties>
</file>