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A0A0A"/>
          <w:sz w:val="44"/>
          <w:szCs w:val="44"/>
        </w:rPr>
        <w:t xml:space="preserve">MANUAL DE MARCA</w:t>
      </w:r>
    </w:p>
    <w:p>
      <w:pPr>
        <w:spacing w:after="400"/>
        <w:jc w:val="center"/>
      </w:pPr>
      <w:r>
        <w:rPr>
          <w:i/>
          <w:iCs/>
          <w:color w:val="8A6D00"/>
          <w:sz w:val="22"/>
          <w:szCs w:val="22"/>
        </w:rPr>
        <w:t xml:space="preserve">Jornada do M1lhão · Mentoria Exclusiva — Benedito Viegas</w:t>
      </w:r>
    </w:p>
    <w:p>
      <w:pPr>
        <w:pStyle w:val="Heading1"/>
        <w:spacing w:after="200" w:before="300"/>
      </w:pPr>
      <w:r>
        <w:rPr>
          <w:b/>
          <w:bCs/>
          <w:color w:val="0A0A0A"/>
          <w:sz w:val="32"/>
          <w:szCs w:val="32"/>
        </w:rPr>
        <w:t xml:space="preserve">1. Logo / Ícone de Marca</w:t>
      </w:r>
    </w:p>
    <w:p>
      <w:pPr>
        <w:spacing w:after="120"/>
      </w:pPr>
      <w:r>
        <w:rPr>
          <w:sz w:val="21"/>
          <w:szCs w:val="21"/>
        </w:rPr>
        <w:t xml:space="preserve">Emblema oficial: bússola / rosa dos ventos dourada, com anel duplo pontilhado e faixa de texto circular "MENTORIA EXCLUSIVA | BENEDITO VIEGAS".</w:t>
      </w:r>
    </w:p>
    <w:p>
      <w:pPr>
        <w:spacing w:after="300" w:before="150"/>
        <w:jc w:val="center"/>
      </w:pPr>
      <w:r>
        <w:drawing>
          <wp:inline distT="0" distB="0" distL="0" distR="0">
            <wp:extent cx="2286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Arquivos exportados: logo_bussola.png e logo_bussola.ico (16, 32, 48, 64, 128, 256 px).</w:t>
      </w:r>
    </w:p>
    <w:p>
      <w:pPr>
        <w:pStyle w:val="Heading1"/>
        <w:spacing w:after="200" w:before="300"/>
      </w:pPr>
      <w:r>
        <w:rPr>
          <w:b/>
          <w:bCs/>
          <w:color w:val="0A0A0A"/>
          <w:sz w:val="32"/>
          <w:szCs w:val="32"/>
        </w:rPr>
        <w:t xml:space="preserve">2. Tipografia / Lettering</w:t>
      </w:r>
    </w:p>
    <w:p>
      <w:pPr>
        <w:spacing w:after="120"/>
      </w:pPr>
      <w:r>
        <w:rPr>
          <w:sz w:val="21"/>
          <w:szCs w:val="21"/>
        </w:rPr>
        <w:t xml:space="preserve">Lockup principal da marca: "MENTORIA" em branco (peso leve, com letter-spacing largo), "JORNADA DO" em branco (peso black/900) e "M1LHÃO" em dourado (peso black/900), com o número 1 substituindo o I.</w:t>
      </w:r>
    </w:p>
    <w:p>
      <w:pPr>
        <w:spacing w:after="200" w:before="150"/>
        <w:jc w:val="center"/>
      </w:pPr>
      <w:r>
        <w:drawing>
          <wp:inline distT="0" distB="0" distL="0" distR="0">
            <wp:extent cx="3619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Arquivos exportados: tipografia_jornada_do_milhao.png e tipografia_jornada_do_milhao.ico (16, 32, 48, 64, 128, 256 px).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Hierarquia sugerida:</w:t>
      </w:r>
    </w:p>
    <w:p>
      <w:pPr>
        <w:spacing w:after="120"/>
      </w:pPr>
      <w:r>
        <w:rPr>
          <w:sz w:val="21"/>
          <w:szCs w:val="21"/>
        </w:rPr>
        <w:t xml:space="preserve">• Palavra de apoio (ex.: "MENTORIA"): caixa alta, peso Regular/Medium, tracking largo, branco</w:t>
      </w:r>
    </w:p>
    <w:p>
      <w:pPr>
        <w:spacing w:after="120"/>
      </w:pPr>
      <w:r>
        <w:rPr>
          <w:sz w:val="21"/>
          <w:szCs w:val="21"/>
        </w:rPr>
        <w:t xml:space="preserve">• Título principal: caixa alta, peso Black/900, branco</w:t>
      </w:r>
    </w:p>
    <w:p>
      <w:pPr>
        <w:spacing w:after="120"/>
      </w:pPr>
      <w:r>
        <w:rPr>
          <w:sz w:val="21"/>
          <w:szCs w:val="21"/>
        </w:rPr>
        <w:t xml:space="preserve">• Palavra de destaque/ação: caixa alta, peso Black/900, dourado — usar "1" no lugar de "I" quando aplicável</w:t>
      </w:r>
    </w:p>
    <w:p>
      <w:pPr>
        <w:spacing w:after="120"/>
      </w:pPr>
      <w:r>
        <w:rPr>
          <w:sz w:val="21"/>
          <w:szCs w:val="21"/>
        </w:rPr>
        <w:t xml:space="preserve">• Texto corrido: peso Regular/Medium, branco sobre fundo escuro</w:t>
      </w:r>
    </w:p>
    <w:p>
      <w:pPr>
        <w:pStyle w:val="Heading1"/>
        <w:spacing w:after="200" w:before="300"/>
      </w:pPr>
      <w:r>
        <w:rPr>
          <w:b/>
          <w:bCs/>
          <w:color w:val="0A0A0A"/>
          <w:sz w:val="32"/>
          <w:szCs w:val="32"/>
        </w:rPr>
        <w:t xml:space="preserve">3. Paleta de Cores</w:t>
      </w:r>
    </w:p>
    <w:p>
      <w:pPr>
        <w:spacing w:after="120"/>
      </w:pPr>
      <w:r>
        <w:rPr>
          <w:color w:val="444444"/>
          <w:sz w:val="21"/>
          <w:szCs w:val="21"/>
        </w:rPr>
        <w:t xml:space="preserve">Hex extraídos por amostragem de pixel direto dos arquivos originais enviados (precisão exata, não estimada).</w:t>
      </w:r>
    </w:p>
    <w:p>
      <w:pPr>
        <w:spacing w:after="100" w:before="2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600"/>
      </w:tblGrid>
      <w:tr>
        <w:trPr>
          <w:tblHeader/>
        </w:trPr>
        <w:tc>
          <w:tcPr>
            <w:shd w:fill="0A0A0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Amostra</w:t>
            </w:r>
          </w:p>
        </w:tc>
        <w:tc>
          <w:tcPr>
            <w:shd w:fill="0A0A0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shd w:fill="0A0A0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shd w:fill="0A0A0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shd w:fill="0A0A0A" w:val="clear"/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Preto Principal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#0A0A0A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Fundo de toda a peça / base do logo</w:t>
            </w:r>
          </w:p>
        </w:tc>
      </w:tr>
      <w:tr>
        <w:tc>
          <w:tcPr>
            <w:tcW w:type="dxa" w:w="2000"/>
            <w:shd w:fill="FED116" w:val="clear"/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Dourado Principal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#FED116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Bússola, "M1LHÃO", valores, CTAs e destaques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Branco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"MENTORIA", "JORNADA DO", texto corrido e anéis do logo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0A0A0A"/>
          <w:sz w:val="32"/>
          <w:szCs w:val="32"/>
        </w:rPr>
        <w:t xml:space="preserve">4. Aplicação — Resumo</w:t>
      </w:r>
    </w:p>
    <w:p>
      <w:pPr>
        <w:spacing w:after="120"/>
      </w:pPr>
      <w:r>
        <w:rPr>
          <w:sz w:val="21"/>
          <w:szCs w:val="21"/>
        </w:rPr>
        <w:t xml:space="preserve">• Fundo: sempre preto (#0A0A0A), nunca claro.</w:t>
      </w:r>
    </w:p>
    <w:p>
      <w:pPr>
        <w:spacing w:after="120"/>
      </w:pPr>
      <w:r>
        <w:rPr>
          <w:sz w:val="21"/>
          <w:szCs w:val="21"/>
        </w:rPr>
        <w:t xml:space="preserve">• Dourado (#FED116): reservado para a palavra de maior impacto e para o símbolo da bússola — nunca usar em blocos grandes de texto corrido.</w:t>
      </w:r>
    </w:p>
    <w:p>
      <w:pPr>
        <w:spacing w:after="120"/>
      </w:pPr>
      <w:r>
        <w:rPr>
          <w:sz w:val="21"/>
          <w:szCs w:val="21"/>
        </w:rPr>
        <w:t xml:space="preserve">• Branco (#FFFFFF): texto de apoio, títulos secundários e elementos estruturais do logo (anéis, faixa de texto).</w:t>
      </w:r>
    </w:p>
    <w:p>
      <w:pPr>
        <w:spacing w:after="120"/>
      </w:pPr>
      <w:r>
        <w:rPr>
          <w:sz w:val="21"/>
          <w:szCs w:val="21"/>
        </w:rPr>
        <w:t xml:space="preserve">• Logo: usar sempre sobre fundo escuro/preto para manter o contraste do dourado e branco.</w:t>
      </w:r>
    </w:p>
    <w:p>
      <w:pPr>
        <w:spacing w:after="120"/>
      </w:pPr>
      <w:r>
        <w:rPr>
          <w:sz w:val="21"/>
          <w:szCs w:val="21"/>
        </w:rPr>
        <w:t xml:space="preserve">• O recurso "1" no lugar de "I" em M1LHÃO é um elemento de marca — manter em qualquer aplicação da palavra "milhão" como destaque.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154701c089b0acd44966ad7d1eafb35ff0e174.png"/><Relationship Id="rId8" Type="http://schemas.openxmlformats.org/officeDocument/2006/relationships/image" Target="media/6d512fea1ce344006a4534835930bcfb85c3660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2026-08-02T18:28:34.680Z</dcterms:created>
  <dcterms:modified xsi:type="dcterms:W3CDTF">2026-08-02T18:28:34.694Z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