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rPr>
          <w:rFonts w:ascii="Arial" w:cs="Arial" w:eastAsia="Arial" w:hAnsi="Arial"/>
          <w:b/>
          <w:bCs/>
          <w:color w:val="000000"/>
        </w:rPr>
        <w:t xml:space="preserve">Company Brain: Demonstration Plan</w:t>
      </w:r>
    </w:p>
    <w:p>
      <w:pPr>
        <w:spacing w:after="120"/>
      </w:pPr>
      <w:r>
        <w:rPr>
          <w:rFonts w:ascii="Arial" w:cs="Arial" w:eastAsia="Arial" w:hAnsi="Arial"/>
          <w:b w:val="false"/>
          <w:bCs w:val="false"/>
          <w:color w:val="000000"/>
          <w:sz w:val="21"/>
          <w:szCs w:val="21"/>
        </w:rPr>
        <w:t xml:space="preserve">Ten minutes for three members. Pamuditha shows Policies, then Udayanga shows Skills, then Imashi shows Security.</w:t>
      </w:r>
    </w:p>
    <w:p>
      <w:pPr>
        <w:pStyle w:val="Heading2"/>
        <w:spacing w:after="140" w:before="280"/>
      </w:pPr>
      <w:r>
        <w:rPr>
          <w:rFonts w:ascii="Arial" w:cs="Arial" w:eastAsia="Arial" w:hAnsi="Arial"/>
          <w:b/>
          <w:bCs/>
          <w:color w:val="000000"/>
        </w:rPr>
        <w:t xml:space="preserve">1. The story we tell</w:t>
      </w:r>
    </w:p>
    <w:p>
      <w:pPr>
        <w:spacing w:after="120"/>
      </w:pPr>
      <w:r>
        <w:rPr>
          <w:rFonts w:ascii="Arial" w:cs="Arial" w:eastAsia="Arial" w:hAnsi="Arial"/>
          <w:b w:val="false"/>
          <w:bCs w:val="false"/>
          <w:color w:val="000000"/>
          <w:sz w:val="21"/>
          <w:szCs w:val="21"/>
        </w:rPr>
        <w:t xml:space="preserve">We use one workflow, Refunds and cancellations. A customer asks for a refund. Before the Refund Agent acts, it must answer three questions. Each member answers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3438"/>
      </w:tblGrid>
      <w:tr>
        <w:trPr>
          <w:cantSplit/>
          <w:tblHeader/>
        </w:trPr>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Question the agent asks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Part</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Speaker</w:t>
            </w:r>
          </w:p>
        </w:tc>
        <w:tc>
          <w:tcPr>
            <w:tcW w:type="dxa" w:w="3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Where we show it</w:t>
            </w:r>
          </w:p>
        </w:tc>
      </w:tr>
      <w:tr>
        <w:trPr>
          <w:cantSplit/>
          <w:tblHeader w:val="off"/>
        </w:trPr>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Is this rule still true today?</w:t>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Policies</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Pamuditha</w:t>
            </w:r>
          </w:p>
        </w:tc>
        <w:tc>
          <w:tcPr>
            <w:tcW w:type="dxa" w:w="3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Policy registry, Workflow Studio, Research: Freshness</w:t>
            </w:r>
          </w:p>
        </w:tc>
      </w:tr>
      <w:tr>
        <w:trPr>
          <w:cantSplit/>
          <w:tblHeader w:val="off"/>
        </w:trPr>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Which steps do I run?</w:t>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Skills</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Udayanga</w:t>
            </w:r>
          </w:p>
        </w:tc>
        <w:tc>
          <w:tcPr>
            <w:tcW w:type="dxa" w:w="3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Skills studio, Workflow Studio, Research: Skills</w:t>
            </w:r>
          </w:p>
        </w:tc>
      </w:tr>
      <w:tr>
        <w:trPr>
          <w:cantSplit/>
          <w:tblHeader w:val="off"/>
        </w:trPr>
        <w:tc>
          <w:tcPr>
            <w:tcW w:type="dxa" w:w="3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Am I allowed to do this?</w:t>
            </w:r>
          </w:p>
        </w:tc>
        <w:tc>
          <w:tcPr>
            <w:tcW w:type="dxa" w:w="1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Security</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Imashi</w:t>
            </w:r>
          </w:p>
        </w:tc>
        <w:tc>
          <w:tcPr>
            <w:tcW w:type="dxa" w:w="3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Security, Workflow Studio, Research: Security</w:t>
            </w:r>
          </w:p>
        </w:tc>
      </w:tr>
    </w:tbl>
    <w:p>
      <w:pPr>
        <w:spacing w:after="60"/>
      </w:pPr>
      <w:r>
        <w:rPr>
          <w:rFonts w:ascii="Arial" w:cs="Arial" w:eastAsia="Arial" w:hAnsi="Arial"/>
          <w:b w:val="false"/>
          <w:bCs w:val="false"/>
          <w:color w:val="000000"/>
          <w:sz w:val="21"/>
          <w:szCs w:val="21"/>
        </w:rPr>
        <w:t xml:space="preserve"/>
      </w:r>
    </w:p>
    <w:p>
      <w:pPr>
        <w:spacing w:after="120"/>
      </w:pPr>
      <w:r>
        <w:rPr>
          <w:rFonts w:ascii="Arial" w:cs="Arial" w:eastAsia="Arial" w:hAnsi="Arial"/>
          <w:b w:val="false"/>
          <w:bCs w:val="false"/>
          <w:color w:val="000000"/>
          <w:sz w:val="21"/>
          <w:szCs w:val="21"/>
        </w:rPr>
        <w:t xml:space="preserve">Every part uses the same three kinds of stop. A Governance page shows how we watch it. Workflow Studio shows how we change it. The Research tab shows the proof.</w:t>
      </w:r>
    </w:p>
    <w:p>
      <w:pPr>
        <w:pStyle w:val="Heading2"/>
        <w:spacing w:after="140" w:before="280"/>
      </w:pPr>
      <w:r>
        <w:rPr>
          <w:rFonts w:ascii="Arial" w:cs="Arial" w:eastAsia="Arial" w:hAnsi="Arial"/>
          <w:b/>
          <w:bCs/>
          <w:color w:val="000000"/>
        </w:rPr>
        <w:t xml:space="preserve">2. Time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200"/>
        <w:gridCol w:w="3138"/>
      </w:tblGrid>
      <w:tr>
        <w:trPr>
          <w:cantSplit/>
          <w:tblHeader/>
        </w:trPr>
        <w:tc>
          <w:tcPr>
            <w:tcW w:type="dxa" w:w="3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Part</w:t>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Speaker</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Length</w:t>
            </w:r>
          </w:p>
        </w:tc>
        <w:tc>
          <w:tcPr>
            <w:tcW w:type="dxa" w:w="31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Clock</w:t>
            </w:r>
          </w:p>
        </w:tc>
      </w:tr>
      <w:tr>
        <w:trPr>
          <w:cantSplit/>
          <w:tblHeader w:val="off"/>
        </w:trPr>
        <w:tc>
          <w:tcPr>
            <w:tcW w:type="dxa" w:w="3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Opening: the refund workflow</w:t>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Pamuditha</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0:30</w:t>
            </w:r>
          </w:p>
        </w:tc>
        <w:tc>
          <w:tcPr>
            <w:tcW w:type="dxa" w:w="31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0:00 to 0:30</w:t>
            </w:r>
          </w:p>
        </w:tc>
      </w:tr>
      <w:tr>
        <w:trPr>
          <w:cantSplit/>
          <w:tblHeader w:val="off"/>
        </w:trPr>
        <w:tc>
          <w:tcPr>
            <w:tcW w:type="dxa" w:w="3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Policies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Pamuditha</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2:45</w:t>
            </w:r>
          </w:p>
        </w:tc>
        <w:tc>
          <w:tcPr>
            <w:tcW w:type="dxa" w:w="31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0:30 to 3:15</w:t>
            </w:r>
          </w:p>
        </w:tc>
      </w:tr>
      <w:tr>
        <w:trPr>
          <w:cantSplit/>
          <w:tblHeader w:val="off"/>
        </w:trPr>
        <w:tc>
          <w:tcPr>
            <w:tcW w:type="dxa" w:w="3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Skills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Udayanga</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2:45</w:t>
            </w:r>
          </w:p>
        </w:tc>
        <w:tc>
          <w:tcPr>
            <w:tcW w:type="dxa" w:w="31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3:15 to 6:00</w:t>
            </w:r>
          </w:p>
        </w:tc>
      </w:tr>
      <w:tr>
        <w:trPr>
          <w:cantSplit/>
          <w:tblHeader w:val="off"/>
        </w:trPr>
        <w:tc>
          <w:tcPr>
            <w:tcW w:type="dxa" w:w="3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Security</w:t>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Imashi</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2:45</w:t>
            </w:r>
          </w:p>
        </w:tc>
        <w:tc>
          <w:tcPr>
            <w:tcW w:type="dxa" w:w="31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6:00 to 8:45</w:t>
            </w:r>
          </w:p>
        </w:tc>
      </w:tr>
      <w:tr>
        <w:trPr>
          <w:cantSplit/>
          <w:tblHeader w:val="off"/>
        </w:trPr>
        <w:tc>
          <w:tcPr>
            <w:tcW w:type="dxa" w:w="3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Closing</w:t>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Imashi</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0:45</w:t>
            </w:r>
          </w:p>
        </w:tc>
        <w:tc>
          <w:tcPr>
            <w:tcW w:type="dxa" w:w="31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8:45 to 9:30</w:t>
            </w:r>
          </w:p>
        </w:tc>
      </w:tr>
      <w:tr>
        <w:trPr>
          <w:cantSplit/>
          <w:tblHeader w:val="off"/>
        </w:trPr>
        <w:tc>
          <w:tcPr>
            <w:tcW w:type="dxa" w:w="3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Spare time for slow screens</w:t>
            </w:r>
          </w:p>
        </w:tc>
        <w:tc>
          <w:tcPr>
            <w:tcW w:type="dxa" w:w="19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All</w:t>
            </w:r>
          </w:p>
        </w:tc>
        <w:tc>
          <w:tcPr>
            <w:tcW w:type="dxa" w:w="1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0:30</w:t>
            </w:r>
          </w:p>
        </w:tc>
        <w:tc>
          <w:tcPr>
            <w:tcW w:type="dxa" w:w="31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9:30 to 10:00</w:t>
            </w:r>
          </w:p>
        </w:tc>
      </w:tr>
    </w:tbl>
    <w:p>
      <w:pPr>
        <w:spacing w:after="60"/>
      </w:pPr>
      <w:r>
        <w:rPr>
          <w:rFonts w:ascii="Arial" w:cs="Arial" w:eastAsia="Arial" w:hAnsi="Arial"/>
          <w:b w:val="false"/>
          <w:bCs w:val="false"/>
          <w:color w:val="000000"/>
          <w:sz w:val="21"/>
          <w:szCs w:val="21"/>
        </w:rPr>
        <w:t xml:space="preserve"/>
      </w:r>
    </w:p>
    <w:p>
      <w:pPr>
        <w:pStyle w:val="Heading2"/>
        <w:spacing w:after="140" w:before="280"/>
      </w:pPr>
      <w:r>
        <w:rPr>
          <w:rFonts w:ascii="Arial" w:cs="Arial" w:eastAsia="Arial" w:hAnsi="Arial"/>
          <w:b/>
          <w:bCs/>
          <w:color w:val="000000"/>
        </w:rPr>
        <w:t xml:space="preserve">3. Before you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Item</w:t>
            </w:r>
          </w:p>
        </w:tc>
        <w:tc>
          <w:tcPr>
            <w:tcW w:type="dxa" w:w="7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What to do</w:t>
            </w:r>
          </w:p>
        </w:tc>
      </w:tr>
      <w:tr>
        <w:trPr>
          <w:cantSplit/>
          <w:tblHeader w:val="off"/>
        </w:trPr>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Start the app</w:t>
            </w:r>
          </w:p>
        </w:tc>
        <w:tc>
          <w:tcPr>
            <w:tcW w:type="dxa" w:w="7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In a terminal, go to the frontend folder and run npm run dev. Open http://localhost:3000.</w:t>
            </w:r>
          </w:p>
        </w:tc>
      </w:tr>
      <w:tr>
        <w:trPr>
          <w:cantSplit/>
          <w:tblHeader w:val="off"/>
        </w:trPr>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Sign in to the demo</w:t>
            </w:r>
          </w:p>
        </w:tc>
        <w:tc>
          <w:tcPr>
            <w:tcW w:type="dxa" w:w="7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On the first screen click Open demo, then Continue as Nadeesha Perera (L1). Do this before the panel arrives. A page opened without it says You do not have access to this view.</w:t>
            </w:r>
          </w:p>
        </w:tc>
      </w:tr>
      <w:tr>
        <w:trPr>
          <w:cantSplit/>
          <w:tblHeader w:val="off"/>
        </w:trPr>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Workspace for Studio and Governance pages</w:t>
            </w:r>
          </w:p>
        </w:tc>
        <w:tc>
          <w:tcPr>
            <w:tcW w:type="dxa" w:w="7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Use the default demo workspace. It has the Refund Agent, the Refund inside policy skill and the refund policies. These screens run on made up demo data in the browser.</w:t>
            </w:r>
          </w:p>
        </w:tc>
      </w:tr>
      <w:tr>
        <w:trPr>
          <w:cantSplit/>
          <w:tblHeader w:val="off"/>
        </w:trPr>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Workspace for the Research tab</w:t>
            </w:r>
          </w:p>
        </w:tc>
        <w:tc>
          <w:tcPr>
            <w:tcW w:type="dxa" w:w="7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Research results come only from Finebase HQ with the backend running. Start the backend on port 8000 with its Docker services, and set RESEARCH_LAB=enabled in backend/.env. Then open a second browser window, switch the tenant to Finebase HQ in the top bar, and open the Research tab. Each paper must show a result. If it says No run yet or Sample only, the backend is not connected.</w:t>
            </w:r>
          </w:p>
        </w:tc>
      </w:tr>
      <w:tr>
        <w:trPr>
          <w:cantSplit/>
          <w:tblHeader w:val="off"/>
        </w:trPr>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Open the tabs in order</w:t>
            </w:r>
          </w:p>
        </w:tc>
        <w:tc>
          <w:tcPr>
            <w:tcW w:type="dxa" w:w="7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Open all ten addresses in section 4 before the demo, in that order. Each speaker then only presses the next tab.</w:t>
            </w:r>
          </w:p>
        </w:tc>
      </w:tr>
      <w:tr>
        <w:trPr>
          <w:cantSplit/>
          <w:tblHeader w:val="off"/>
        </w:trPr>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Screen</w:t>
            </w:r>
          </w:p>
        </w:tc>
        <w:tc>
          <w:tcPr>
            <w:tcW w:type="dxa" w:w="7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Full screen, browser zoom 110 to 125 percent, light theme, notifications off.</w:t>
            </w:r>
          </w:p>
        </w:tc>
      </w:tr>
      <w:tr>
        <w:trPr>
          <w:cantSplit/>
          <w:tblHeader w:val="off"/>
        </w:trPr>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After every rehearsal</w:t>
            </w:r>
          </w:p>
        </w:tc>
        <w:tc>
          <w:tcPr>
            <w:tcW w:type="dxa" w:w="7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Click the Demo data badge and choose Reset demo data, so the Studio edit starts clean.</w:t>
            </w:r>
          </w:p>
        </w:tc>
      </w:tr>
      <w:tr>
        <w:trPr>
          <w:cantSplit/>
          <w:tblHeader w:val="off"/>
        </w:trPr>
        <w:tc>
          <w:tcPr>
            <w:tcW w:type="dxa" w:w="22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Rehearse with a timer</w:t>
            </w:r>
          </w:p>
        </w:tc>
        <w:tc>
          <w:tcPr>
            <w:tcW w:type="dxa" w:w="74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Each speaker keeps to the length in section 2. Practise the handover lines out loud.</w:t>
            </w:r>
          </w:p>
        </w:tc>
      </w:tr>
    </w:tbl>
    <w:p>
      <w:pPr>
        <w:spacing w:after="60"/>
      </w:pPr>
      <w:r>
        <w:rPr>
          <w:rFonts w:ascii="Arial" w:cs="Arial" w:eastAsia="Arial" w:hAnsi="Arial"/>
          <w:b w:val="false"/>
          <w:bCs w:val="false"/>
          <w:color w:val="000000"/>
          <w:sz w:val="21"/>
          <w:szCs w:val="21"/>
        </w:rPr>
        <w:t xml:space="preserve"/>
      </w:r>
    </w:p>
    <w:p>
      <w:pPr>
        <w:pStyle w:val="Heading2"/>
        <w:spacing w:after="140" w:before="280"/>
      </w:pPr>
      <w:r>
        <w:rPr>
          <w:rFonts w:ascii="Arial" w:cs="Arial" w:eastAsia="Arial" w:hAnsi="Arial"/>
          <w:b/>
          <w:bCs/>
          <w:color w:val="000000"/>
        </w:rPr>
        <w:t xml:space="preserve">4. Tabs to open,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938"/>
        <w:gridCol w:w="1700"/>
      </w:tblGrid>
      <w:tr>
        <w:trPr>
          <w:cantSplit/>
          <w:tblHeader/>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No.</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Page</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Address after http://localhost:3000</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Used by</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1</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Workflow Studio, map of Refunds and cancellations</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/studio?wf=wf-refunds&amp;view=diagram</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Pamuditha, Imashi</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2</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Policy registry</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/l2/policies</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Pamuditha</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3</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Refund window timeline</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/l2/policies/refund-window</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Pamuditha</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4</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Research: Freshness</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/research/policies</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Pamuditha</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5</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Skills studio: Refund inside policy</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/l2/skills/refund-standard</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Udayanga</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6</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Workflow Studio, Work step</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/studio?wf=wf-refunds&amp;focus=refunds.skill.refund-standard&amp;view=parts</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Udayanga</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7</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Research: Skills</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/research/skills</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Udayanga</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8</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Workflow Studio, Team step</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/studio?wf=wf-refunds&amp;focus=refunds.agent.a-refund&amp;view=parts</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Imashi</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9</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Security and access</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/l2/security</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Imashi</w:t>
            </w:r>
          </w:p>
        </w:tc>
      </w:tr>
      <w:tr>
        <w:trPr>
          <w:cantSplit/>
          <w:tblHeader w:val="off"/>
        </w:trPr>
        <w:tc>
          <w:tcPr>
            <w:tcW w:type="dxa" w:w="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10</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Research: Security</w:t>
            </w:r>
          </w:p>
        </w:tc>
        <w:tc>
          <w:tcPr>
            <w:tcW w:type="dxa" w:w="4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/research/security</w:t>
            </w:r>
          </w:p>
        </w:tc>
        <w:tc>
          <w:tcPr>
            <w:tcW w:type="dxa" w:w="17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Imashi</w:t>
            </w:r>
          </w:p>
        </w:tc>
      </w:tr>
    </w:tbl>
    <w:p>
      <w:pPr>
        <w:spacing w:after="60"/>
      </w:pPr>
      <w:r>
        <w:rPr>
          <w:rFonts w:ascii="Arial" w:cs="Arial" w:eastAsia="Arial" w:hAnsi="Arial"/>
          <w:b w:val="false"/>
          <w:bCs w:val="false"/>
          <w:color w:val="000000"/>
          <w:sz w:val="21"/>
          <w:szCs w:val="21"/>
        </w:rPr>
        <w:t xml:space="preserve"/>
      </w:r>
    </w:p>
    <w:p>
      <w:pPr>
        <w:pStyle w:val="Heading2"/>
        <w:spacing w:after="140" w:before="280"/>
      </w:pPr>
      <w:r>
        <w:rPr>
          <w:rFonts w:ascii="Arial" w:cs="Arial" w:eastAsia="Arial" w:hAnsi="Arial"/>
          <w:b/>
          <w:bCs/>
          <w:color w:val="000000"/>
        </w:rPr>
        <w:t xml:space="preserve">5. Opening, Pamuditha, 0:00 to 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800"/>
        <w:gridCol w:w="3338"/>
      </w:tblGrid>
      <w:tr>
        <w:trPr>
          <w:cantSplit/>
          <w:tblHeader/>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Clock</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Show</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Do</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Say</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0:00 to 0:30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1. Workflow Studio, Refunds and cancellations, Diagram view.</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Point along the map from left to right: Sensors, Agents, Skills, Policies, Tools, Templates, Loops.</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"Every action in the company is a workflow. This one handles refunds. An agent does the work. Today we show how it manages three things: policies, skills and security. I start with policies."</w:t>
            </w:r>
          </w:p>
        </w:tc>
      </w:tr>
    </w:tbl>
    <w:p>
      <w:pPr>
        <w:spacing w:after="60"/>
      </w:pPr>
      <w:r>
        <w:rPr>
          <w:rFonts w:ascii="Arial" w:cs="Arial" w:eastAsia="Arial" w:hAnsi="Arial"/>
          <w:b w:val="false"/>
          <w:bCs w:val="false"/>
          <w:color w:val="000000"/>
          <w:sz w:val="21"/>
          <w:szCs w:val="21"/>
        </w:rPr>
        <w:t xml:space="preserve"/>
      </w:r>
    </w:p>
    <w:p>
      <w:pPr>
        <w:pStyle w:val="Heading2"/>
        <w:spacing w:after="140" w:before="280"/>
      </w:pPr>
      <w:r>
        <w:rPr>
          <w:rFonts w:ascii="Arial" w:cs="Arial" w:eastAsia="Arial" w:hAnsi="Arial"/>
          <w:b/>
          <w:bCs/>
          <w:color w:val="000000"/>
        </w:rPr>
        <w:t xml:space="preserve">6. Policies, Pamuditha, 0:30 to 3:15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800"/>
        <w:gridCol w:w="3338"/>
      </w:tblGrid>
      <w:tr>
        <w:trPr>
          <w:cantSplit/>
          <w:tblHeader/>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Clock</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Show</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Do</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Say</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0:30 to 1:05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2. Governance, Policy registry.</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Point at the Freshness column. Click Refund window.</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"These are the company's rules. Each one shows whether it is fresh or whether signals say it may be going stale. Nothing is retired without approval. Let me open the refund window."</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1:05 to 2:00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3. Refund window timeline.</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Point at the bars v1, v2 and v3 (14, 45 and 30 days). Move the As of date to an earlier day. Read out the two answers: what was true then, and what the system believed then.</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"The refund window was 14 days, then 45, then 30. We never overwrite a rule. We close its valid time and open a new one. So we can ask what was true on any date, and what we believed on that date. The agent always receives the version valid now."</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2:00 to 2:50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Click Change this policy in Workflow Studio. The Studio opens in chat, focused on Refund window.</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Type: Change the refund window to 21 days. Press Enter.</w:t>
            </w:r>
          </w:p>
          <w:p>
            <w:pPr>
              <w:spacing w:after="60"/>
            </w:pPr>
            <w:r>
              <w:rPr>
                <w:rFonts w:ascii="Arial" w:cs="Arial" w:eastAsia="Arial" w:hAnsi="Arial"/>
                <w:b w:val="false"/>
                <w:bCs w:val="false"/>
                <w:color w:val="000000"/>
                <w:sz w:val="21"/>
                <w:szCs w:val="21"/>
              </w:rPr>
              <w:t xml:space="preserve">Point at the proposal: 30 days becomes 21 days, rated Moderate at C3, needs the L1 owner, button Send to L1 DRI.</w:t>
            </w:r>
          </w:p>
          <w:p>
            <w:pPr>
              <w:spacing w:after="60"/>
            </w:pPr>
            <w:r>
              <w:rPr>
                <w:rFonts w:ascii="Arial" w:cs="Arial" w:eastAsia="Arial" w:hAnsi="Arial"/>
                <w:b w:val="false"/>
                <w:bCs w:val="false"/>
                <w:color w:val="000000"/>
                <w:sz w:val="21"/>
                <w:szCs w:val="21"/>
              </w:rPr>
              <w:t xml:space="preserve">Do not press Send.</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"To change a policy we use the workflow, not a database. I ask in chat. The review agent shows what changes and what it touches. A change at this level needs the owner, and nobody approves their own change."</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2:50 to 3:15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4. Research, Freshness.</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Show the first hypothesis card: threshold, observed value, verdict.</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"On the public FiscalQA benchmark, plain retrieval scores 66.2 percent. With validity dates we score 99.5, above the published best of 98.3. Finding changes by ourselves is at 82 percent recall against a 90 target. That is our next step. Udayanga now shows skills."</w:t>
            </w:r>
          </w:p>
        </w:tc>
      </w:tr>
    </w:tbl>
    <w:p>
      <w:pPr>
        <w:spacing w:after="60"/>
      </w:pPr>
      <w:r>
        <w:rPr>
          <w:rFonts w:ascii="Arial" w:cs="Arial" w:eastAsia="Arial" w:hAnsi="Arial"/>
          <w:b w:val="false"/>
          <w:bCs w:val="false"/>
          <w:color w:val="000000"/>
          <w:sz w:val="21"/>
          <w:szCs w:val="21"/>
        </w:rPr>
        <w:t xml:space="preserve"/>
      </w:r>
    </w:p>
    <w:p>
      <w:pPr>
        <w:spacing w:after="120"/>
      </w:pPr>
      <w:r>
        <w:rPr>
          <w:rFonts w:ascii="Arial" w:cs="Arial" w:eastAsia="Arial" w:hAnsi="Arial"/>
          <w:b w:val="false"/>
          <w:bCs w:val="false"/>
          <w:color w:val="000000"/>
          <w:sz w:val="21"/>
          <w:szCs w:val="21"/>
        </w:rPr>
        <w:t xml:space="preserve">Be ready to say: the 99.5 percent run is given the end dates from the law's own record. Retiring a policy automatically from behaviour is not built yet.</w:t>
      </w:r>
    </w:p>
    <w:p>
      <w:pPr>
        <w:pStyle w:val="Heading2"/>
        <w:spacing w:after="140" w:before="280"/>
      </w:pPr>
      <w:r>
        <w:rPr>
          <w:rFonts w:ascii="Arial" w:cs="Arial" w:eastAsia="Arial" w:hAnsi="Arial"/>
          <w:b/>
          <w:bCs/>
          <w:color w:val="000000"/>
        </w:rPr>
        <w:t xml:space="preserve">7. Skills, Udayanga, 3:15 to 6:00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800"/>
        <w:gridCol w:w="3338"/>
      </w:tblGrid>
      <w:tr>
        <w:trPr>
          <w:cantSplit/>
          <w:tblHeader/>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Clock</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Show</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Do</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Say</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3:15 to 4:05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5. Governance, Skills studio, Refund inside policy.</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Point at the five steps, then Governing policies, then Skill health (Task success, Consistency pass^8, Conformance), then the Eval suite.</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"A skill is a set of steps an agent can run, not a document to read. Refund inside policy has five steps: retrieve the policy, check the window, access check, issue the refund, confirm. It is tied to the two policies that govern it. Skill health gives three scores: does it finish the task, does it do so every time, and does it match what people really do. These are demo values."</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4:05 to 4:55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6. Workflow Studio, Work step.</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Point at Steps, Run by agents, Tools and Governing policies. Optional: show the Drafts and Academy tabs in the Skills studio.</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"Skills live in the same workflow. The agent, the tools and the policies sit beside the steps, so nothing is hidden. Any change is reviewed before it goes live."</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4:55 to 6:00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7. Research, Skills.</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Show the pass^k chart with both conditions, then the first hypothesis card.</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"Here is the proof. Without the skill's steps, the agent ended 62.5 percent of refund cases as the policy says. With the steps, 100 percent, eight times out of eight. That is 16 cases with 8 trials each, on the real pipeline. The written procedure fitted both runs perfectly, yet one run ended 37.5 percent of cases wrongly. Matching a procedure is not the same as being correct, so we check both. Building the skill from traces automatically is our next big step. Imashi now shows how every call is checked."</w:t>
            </w:r>
          </w:p>
        </w:tc>
      </w:tr>
    </w:tbl>
    <w:p>
      <w:pPr>
        <w:spacing w:after="60"/>
      </w:pPr>
      <w:r>
        <w:rPr>
          <w:rFonts w:ascii="Arial" w:cs="Arial" w:eastAsia="Arial" w:hAnsi="Arial"/>
          <w:b w:val="false"/>
          <w:bCs w:val="false"/>
          <w:color w:val="000000"/>
          <w:sz w:val="21"/>
          <w:szCs w:val="21"/>
        </w:rPr>
        <w:t xml:space="preserve"/>
      </w:r>
    </w:p>
    <w:p>
      <w:pPr>
        <w:spacing w:after="120"/>
      </w:pPr>
      <w:r>
        <w:rPr>
          <w:rFonts w:ascii="Arial" w:cs="Arial" w:eastAsia="Arial" w:hAnsi="Arial"/>
          <w:b w:val="false"/>
          <w:bCs w:val="false"/>
          <w:color w:val="000000"/>
          <w:sz w:val="21"/>
          <w:szCs w:val="21"/>
        </w:rPr>
        <w:t xml:space="preserve">Be ready to say: the comparison is against an agent with no skill steps, not yet against a retrieval baseline. Skill induction from traces starts after this progress presentation.</w:t>
      </w:r>
    </w:p>
    <w:p>
      <w:pPr>
        <w:pStyle w:val="Heading2"/>
        <w:spacing w:after="140" w:before="280"/>
      </w:pPr>
      <w:r>
        <w:rPr>
          <w:rFonts w:ascii="Arial" w:cs="Arial" w:eastAsia="Arial" w:hAnsi="Arial"/>
          <w:b/>
          <w:bCs/>
          <w:color w:val="000000"/>
        </w:rPr>
        <w:t xml:space="preserve">8. Security, Imashi, 6:00 to 8:45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800"/>
        <w:gridCol w:w="3338"/>
      </w:tblGrid>
      <w:tr>
        <w:trPr>
          <w:cantSplit/>
          <w:tblHeader/>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Clock</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Show</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Do</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Say</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6:00 to 6:50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8. Workflow Studio, Team step, Refund Agent.</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Click History &amp; links on the Refund Agent card. A Details panel opens on the right.</w:t>
            </w:r>
          </w:p>
          <w:p>
            <w:pPr>
              <w:spacing w:after="60"/>
            </w:pPr>
            <w:r>
              <w:rPr>
                <w:rFonts w:ascii="Arial" w:cs="Arial" w:eastAsia="Arial" w:hAnsi="Arial"/>
                <w:b w:val="false"/>
                <w:bCs w:val="false"/>
                <w:color w:val="000000"/>
                <w:sz w:val="21"/>
                <w:szCs w:val="21"/>
              </w:rPr>
              <w:t xml:space="preserve">Open the Access tab. Point at Can do, reads confidential, and Tools it uses.</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"Each agent gets only what it needs. The Refund Agent can reply, refund and read billing. It reads confidential data, not restricted. Each tool shows the capability it needs. A missing capability shows a warning."</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6:50 to 7:45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9. Governance, Security, Decisions, Denied filter.</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Point at the top denied row: Care Agent, billing.refund for LKR 12,000, requires capability refund:issue which Care Agent does not hold, 4.1 ms.</w:t>
            </w:r>
          </w:p>
          <w:p>
            <w:pPr>
              <w:spacing w:after="60"/>
            </w:pPr>
            <w:r>
              <w:rPr>
                <w:rFonts w:ascii="Arial" w:cs="Arial" w:eastAsia="Arial" w:hAnsi="Arial"/>
                <w:b w:val="false"/>
                <w:bCs w:val="false"/>
                <w:color w:val="000000"/>
                <w:sz w:val="21"/>
                <w:szCs w:val="21"/>
              </w:rPr>
              <w:t xml:space="preserve">Then point at Waiting for you: Grant Care Agent refund capability, 0 of 2 approved.</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"Every call the agent makes is checked at that moment, not only when it reads. The Care Agent tried a 12,000 rupee refund and was refused in four milliseconds, because it never held the refund capability. The AI can ask. The security layer decides. Granting that capability is itself a high risk change that needs two approvals."</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7:45 to 8:20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Same page. Click Check access.</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Agent: Refund Agent. Action: refund:issue. Data: Restricted. Click Check. It says Denied, the data is too sensitive for the agent's tier.</w:t>
            </w:r>
          </w:p>
          <w:p>
            <w:pPr>
              <w:spacing w:after="60"/>
            </w:pPr>
            <w:r>
              <w:rPr>
                <w:rFonts w:ascii="Arial" w:cs="Arial" w:eastAsia="Arial" w:hAnsi="Arial"/>
                <w:b w:val="false"/>
                <w:bCs w:val="false"/>
                <w:color w:val="000000"/>
                <w:sz w:val="21"/>
                <w:szCs w:val="21"/>
              </w:rPr>
              <w:t xml:space="preserve">Change Data to Confidential. Click Check. It says Allowed.</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"I can test any case before it happens. The Refund Agent may refund, but not on restricted data. Same agent, confidential data: allowed. If the access service does not answer, the answer is no."</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8:20 to 8:45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10. Research, Security.</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Show the conditions chart and the first hypothesis card.</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"Without a filter, every restricted item reached the agent: 100 percent. With our filter, zero. No useful work was lost: 70 of 70 normal tasks done. Forbidden actions: zero of 300. Our check takes about 20 milliseconds against a 10 millisecond target. That is our next fix."</w:t>
            </w:r>
          </w:p>
        </w:tc>
      </w:tr>
    </w:tbl>
    <w:p>
      <w:pPr>
        <w:spacing w:after="60"/>
      </w:pPr>
      <w:r>
        <w:rPr>
          <w:rFonts w:ascii="Arial" w:cs="Arial" w:eastAsia="Arial" w:hAnsi="Arial"/>
          <w:b w:val="false"/>
          <w:bCs w:val="false"/>
          <w:color w:val="000000"/>
          <w:sz w:val="21"/>
          <w:szCs w:val="21"/>
        </w:rPr>
        <w:t xml:space="preserve"/>
      </w:r>
    </w:p>
    <w:p>
      <w:pPr>
        <w:spacing w:after="120"/>
      </w:pPr>
      <w:r>
        <w:rPr>
          <w:rFonts w:ascii="Arial" w:cs="Arial" w:eastAsia="Arial" w:hAnsi="Arial"/>
          <w:b w:val="false"/>
          <w:bCs w:val="false"/>
          <w:color w:val="000000"/>
          <w:sz w:val="21"/>
          <w:szCs w:val="21"/>
        </w:rPr>
        <w:t xml:space="preserve">Be ready to say: the model refused every injected attack on its own, so this test cannot yet show what the check at the call adds. Harder attacks come next.</w:t>
      </w:r>
    </w:p>
    <w:p>
      <w:pPr>
        <w:pStyle w:val="Heading2"/>
        <w:spacing w:after="140" w:before="280"/>
      </w:pPr>
      <w:r>
        <w:rPr>
          <w:rFonts w:ascii="Arial" w:cs="Arial" w:eastAsia="Arial" w:hAnsi="Arial"/>
          <w:b/>
          <w:bCs/>
          <w:color w:val="000000"/>
        </w:rPr>
        <w:t xml:space="preserve">9. Closing, Imashi, 8:45 to 9:30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800"/>
        <w:gridCol w:w="3338"/>
      </w:tblGrid>
      <w:tr>
        <w:trPr>
          <w:cantSplit/>
          <w:tblHeader/>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Clock</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Show</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Do</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Say</w:t>
            </w:r>
          </w:p>
        </w:tc>
      </w:tr>
      <w:tr>
        <w:trPr>
          <w:cantSplit/>
          <w:tblHeader w:val="off"/>
        </w:trPr>
        <w:tc>
          <w:tcPr>
            <w:tcW w:type="dxa" w:w="1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8:45 to 9:30</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Tab 1. Back to the workflow map.</w:t>
            </w:r>
          </w:p>
        </w:tc>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Point across the map once.</w:t>
            </w:r>
          </w:p>
        </w:tc>
        <w:tc>
          <w:tcPr>
            <w:tcW w:type="dxa" w:w="3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"For every refund, the policy says what is true now, the skill says what to do, and security decides whether the agent may do it. Every result was run on the real pipeline, with thresholds locked before the run, and on public benchmarks. Next we build skills from traces, retire policies automatically, and test harder attacks. Thank you."</w:t>
            </w:r>
          </w:p>
        </w:tc>
      </w:tr>
    </w:tbl>
    <w:p>
      <w:pPr>
        <w:spacing w:after="60"/>
      </w:pPr>
      <w:r>
        <w:rPr>
          <w:rFonts w:ascii="Arial" w:cs="Arial" w:eastAsia="Arial" w:hAnsi="Arial"/>
          <w:b w:val="false"/>
          <w:bCs w:val="false"/>
          <w:color w:val="000000"/>
          <w:sz w:val="21"/>
          <w:szCs w:val="21"/>
        </w:rPr>
        <w:t xml:space="preserve"/>
      </w:r>
    </w:p>
    <w:p>
      <w:pPr>
        <w:pStyle w:val="Heading2"/>
        <w:spacing w:after="140" w:before="280"/>
      </w:pPr>
      <w:r>
        <w:rPr>
          <w:rFonts w:ascii="Arial" w:cs="Arial" w:eastAsia="Arial" w:hAnsi="Arial"/>
          <w:b/>
          <w:bCs/>
          <w:color w:val="000000"/>
        </w:rPr>
        <w:t xml:space="preserve">10. Numbers you may quote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938"/>
      </w:tblGrid>
      <w:tr>
        <w:trPr>
          <w:cantSplit/>
          <w:tblHeader/>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Part</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Result</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Honest note</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Policies</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FiscalQA Pro strict score: plain retrieval 66.2 percent, with validity dates 99.5 percent. Published best 98.3 percent.</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Our run is given the end dates. One model, Haiku 5.5.</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Policies</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Stale only answers: 16.0 percent down to 0.0 percent on FiscalQA Pro.</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Same run.</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Policies</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Our own pack: stale answers 10.7 percent down to 0.0, current answers 4.0 percent up to 85.8.</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When the system finds the change itself, stale answers stay at 8.0 percent. Not supported yet.</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Policies</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Drift detection on 44 public logs: recall 82 percent, delay 342 traces.</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Below the targets of 90 percent and 50 traces.</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Skills</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Cases ending as the policy says: 62.5 percent without steps, 100 percent with steps. Pass^8 from 0.625 to 1.0.</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16 cases, 8 trials, Sonnet 5.5. Baseline is no steps, not retrieval.</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Skills</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Written procedure fits the agent's runs at 1.00 in both conditions.</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Conformance is not correctness.</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Skills</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tau3-bench retail: pass^1 80 percent down to pass^8 50 percent.</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Public benchmark, Haiku 5.5, 30 tasks, 8 trials. For scale only.</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Security</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Restricted item reached the agent: 100 percent with no filter, 100 percent with rules in the prompt, 0 percent with the filter.</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450 episodes per condition.</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Security</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Forbidden actions: 0 of 300. Normal work done: 70 of 70. False denials: 0.</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The no check condition also had 0 of 300, because the model refused every attack.</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Security</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Added time per call: median 20 ms, 95th percentile 68 ms.</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Target is under 10 ms. Not met.</w:t>
            </w:r>
          </w:p>
        </w:tc>
      </w:tr>
      <w:tr>
        <w:trPr>
          <w:cantSplit/>
          <w:tblHeader w:val="off"/>
        </w:trPr>
        <w:tc>
          <w:tcPr>
            <w:tcW w:type="dxa" w:w="1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Whole project</w:t>
            </w:r>
          </w:p>
        </w:tc>
        <w:tc>
          <w:tcPr>
            <w:tcW w:type="dxa" w:w="4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Model spend about 40 US dollars, inside the budget of 22,000 LKR (about 73 US dollars).</w:t>
            </w:r>
          </w:p>
        </w:tc>
        <w:tc>
          <w:tcPr>
            <w:tcW w:type="dxa" w:w="39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Progress about 60 percent.</w:t>
            </w:r>
          </w:p>
        </w:tc>
      </w:tr>
    </w:tbl>
    <w:p>
      <w:pPr>
        <w:spacing w:after="60"/>
      </w:pPr>
      <w:r>
        <w:rPr>
          <w:rFonts w:ascii="Arial" w:cs="Arial" w:eastAsia="Arial" w:hAnsi="Arial"/>
          <w:b w:val="false"/>
          <w:bCs w:val="false"/>
          <w:color w:val="000000"/>
          <w:sz w:val="21"/>
          <w:szCs w:val="21"/>
        </w:rPr>
        <w:t xml:space="preserve"/>
      </w:r>
    </w:p>
    <w:p>
      <w:pPr>
        <w:pStyle w:val="Heading2"/>
        <w:spacing w:after="140" w:before="280"/>
      </w:pPr>
      <w:r>
        <w:rPr>
          <w:rFonts w:ascii="Arial" w:cs="Arial" w:eastAsia="Arial" w:hAnsi="Arial"/>
          <w:b/>
          <w:bCs/>
          <w:color w:val="000000"/>
        </w:rPr>
        <w:t xml:space="preserve">11. Questions the panel may 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Question</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Short answer</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Does the system retire a policy by itself?</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Not yet. Retiring works when the end date is known. Retiring from behaviour is the next step.</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Why is detection only 82 percent?</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We fixed the detector's settings before reading any public log, so the score is not tuned. It finds big changes slowly and misses moderate ones. A sequential detector comes next.</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Are skills built from traces yet?</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No. We tested an authored skill first, so the test harness exists. Induction from traces is the main work after this presentation.</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Why did the security baseline show 0 percent?</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The model refused every injected attack by itself. We need attacks it falls for, or a weaker second model, to show what the check adds.</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Are the numbers on the Skills page real?</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The Governance pages in the demo workspace show demo values. The measured results are on the Research tab.</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How do you know the results are not tuned?</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Thresholds are written down and locked before each run, and a locked row cannot change. Answers are graded by rule, never by a model.</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What is real and what is mock?</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The pipeline runs on real infrastructure with real models for Finebase HQ. The demo workspace is made up data in the browser.</w:t>
            </w:r>
          </w:p>
        </w:tc>
      </w:tr>
    </w:tbl>
    <w:p>
      <w:pPr>
        <w:spacing w:after="60"/>
      </w:pPr>
      <w:r>
        <w:rPr>
          <w:rFonts w:ascii="Arial" w:cs="Arial" w:eastAsia="Arial" w:hAnsi="Arial"/>
          <w:b w:val="false"/>
          <w:bCs w:val="false"/>
          <w:color w:val="000000"/>
          <w:sz w:val="21"/>
          <w:szCs w:val="21"/>
        </w:rPr>
        <w:t xml:space="preserve"/>
      </w:r>
    </w:p>
    <w:p>
      <w:pPr>
        <w:pStyle w:val="Heading2"/>
        <w:spacing w:after="140" w:before="280"/>
      </w:pPr>
      <w:r>
        <w:rPr>
          <w:rFonts w:ascii="Arial" w:cs="Arial" w:eastAsia="Arial" w:hAnsi="Arial"/>
          <w:b/>
          <w:bCs/>
          <w:color w:val="000000"/>
        </w:rPr>
        <w:t xml:space="preserve">12. 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Problem</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bCs/>
                <w:color w:val="000000"/>
                <w:sz w:val="21"/>
                <w:szCs w:val="21"/>
              </w:rPr>
              <w:t xml:space="preserve">What to do</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A page says You do not have access to this view</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Go to the home page, click Open demo, then Continue as Nadeesha Perera.</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Research says No run yet or Sample only</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The tenant is not Finebase HQ or the backend is off. Quote the numbers from section 10 and say the live results are on the progress slides.</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The Studio chat is slow</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Wait a few seconds. If it still does not answer, describe the proposal from section 6 and move on.</w:t>
            </w:r>
          </w:p>
        </w:tc>
      </w:tr>
      <w:tr>
        <w:trPr>
          <w:cantSplit/>
          <w:tblHeader w:val="off"/>
        </w:trPr>
        <w:tc>
          <w:tcPr>
            <w:tcW w:type="dxa" w:w="33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You are behind time</w:t>
            </w:r>
          </w:p>
        </w:tc>
        <w:tc>
          <w:tcPr>
            <w:tcW w:type="dxa" w:w="63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spacing w:after="60"/>
            </w:pPr>
            <w:r>
              <w:rPr>
                <w:rFonts w:ascii="Arial" w:cs="Arial" w:eastAsia="Arial" w:hAnsi="Arial"/>
                <w:b w:val="false"/>
                <w:bCs w:val="false"/>
                <w:color w:val="000000"/>
                <w:sz w:val="21"/>
                <w:szCs w:val="21"/>
              </w:rPr>
              <w:t xml:space="preserve">Cut in this order: the Drafts and Academy tabs, the Studio Work step, the second Check access case, the policy timeline As of move.</w:t>
            </w:r>
          </w:p>
        </w:tc>
      </w:tr>
    </w:tbl>
    <w:p>
      <w:pPr>
        <w:spacing w:after="60"/>
      </w:pPr>
      <w:r>
        <w:rPr>
          <w:rFonts w:ascii="Arial" w:cs="Arial" w:eastAsia="Arial" w:hAnsi="Arial"/>
          <w:b w:val="false"/>
          <w:bCs w:val="false"/>
          <w:color w:val="000000"/>
          <w:sz w:val="21"/>
          <w:szCs w:val="21"/>
        </w:rPr>
        <w:t xml:space="preserve"/>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000000"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Arial" w:cs="Arial" w:eastAsia="Arial" w:hAnsi="Arial"/>
      <w:b/>
      <w:bCs/>
      <w:color w:val="000000"/>
      <w:sz w:val="34"/>
      <w:szCs w:val="34"/>
    </w:rPr>
  </w:style>
  <w:style w:type="paragraph" w:styleId="Heading2">
    <w:name w:val="Heading 2"/>
    <w:basedOn w:val="Normal"/>
    <w:next w:val="Normal"/>
    <w:qFormat/>
    <w:pPr>
      <w:outlineLvl w:val="1"/>
    </w:pPr>
    <w:rPr>
      <w:rFonts w:ascii="Arial" w:cs="Arial" w:eastAsia="Arial" w:hAnsi="Arial"/>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