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0D00" w14:textId="77777777" w:rsidR="0037395D" w:rsidRDefault="0037395D"/>
    <w:p w14:paraId="08502658" w14:textId="77777777" w:rsidR="002A2BC2" w:rsidRDefault="002A2BC2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F0851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53258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3578D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E3C35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65F71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57493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72415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2BF8E" w14:textId="77777777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044D5" w14:textId="131B2193" w:rsidR="000F298C" w:rsidRDefault="000F298C" w:rsidP="000F29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Курсовую работу выполнил: Кабанов Алексей</w:t>
      </w:r>
    </w:p>
    <w:p w14:paraId="442EEEA0" w14:textId="61F48104" w:rsidR="000F298C" w:rsidRPr="000F298C" w:rsidRDefault="000F298C" w:rsidP="000F2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98C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AAB97A2" w14:textId="77777777" w:rsidR="002A2BC2" w:rsidRDefault="002A2BC2"/>
    <w:p w14:paraId="168E1FF3" w14:textId="77777777" w:rsidR="002A2BC2" w:rsidRDefault="002A2BC2">
      <w:pPr>
        <w:sectPr w:rsidR="002A2BC2" w:rsidSect="000F298C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0176A7C8" w14:textId="55C9DF51" w:rsidR="0020181A" w:rsidRPr="0020181A" w:rsidRDefault="0020181A" w:rsidP="0020181A">
      <w:pPr>
        <w:pStyle w:val="a7"/>
        <w:numPr>
          <w:ilvl w:val="0"/>
          <w:numId w:val="2"/>
        </w:numPr>
        <w:tabs>
          <w:tab w:val="left" w:pos="1134"/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018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данных</w:t>
      </w:r>
    </w:p>
    <w:p w14:paraId="79A140D4" w14:textId="148D07F3" w:rsidR="002A2BC2" w:rsidRPr="0020181A" w:rsidRDefault="002A2BC2" w:rsidP="004D35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 xml:space="preserve">Первый этап разработки медикаментов включает в себя определение безопасных и потенциально активных молекул на ранних стадиях, прежде чем переходить к дорогостоящим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vitro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vivo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исследованиям. В этом процессе важную роль играют методы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химоинформатики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и машинного обучения, которые помогают прогнозировать фармакологические свойства соединений на основе их молекулярной структуры. </w:t>
      </w:r>
    </w:p>
    <w:p w14:paraId="56FEC5F2" w14:textId="3413669C" w:rsidR="002A2BC2" w:rsidRPr="0020181A" w:rsidRDefault="002A2BC2" w:rsidP="004D35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В данной работе рассматривается задача предсказания трех ключевых биологических показателей</w:t>
      </w:r>
      <w:r w:rsidR="004D35D4">
        <w:rPr>
          <w:rFonts w:ascii="Times New Roman" w:hAnsi="Times New Roman" w:cs="Times New Roman"/>
          <w:sz w:val="28"/>
          <w:szCs w:val="28"/>
        </w:rPr>
        <w:t>:</w:t>
      </w:r>
    </w:p>
    <w:p w14:paraId="6BE2221F" w14:textId="4E8D8B2F" w:rsidR="002A2BC2" w:rsidRPr="004D35D4" w:rsidRDefault="002A2BC2" w:rsidP="004D35D4">
      <w:pPr>
        <w:pStyle w:val="a7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CC₅</w:t>
      </w:r>
      <w:proofErr w:type="gram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₀,</w:t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D35D4">
        <w:rPr>
          <w:rFonts w:ascii="Times New Roman" w:hAnsi="Times New Roman" w:cs="Times New Roman"/>
          <w:b/>
          <w:bCs/>
          <w:sz w:val="28"/>
          <w:szCs w:val="28"/>
        </w:rPr>
        <w:t>полумаксимальная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цитотоксическая концентрация</w:t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35D4">
        <w:rPr>
          <w:rFonts w:ascii="Times New Roman" w:hAnsi="Times New Roman" w:cs="Times New Roman"/>
          <w:sz w:val="28"/>
          <w:szCs w:val="28"/>
        </w:rPr>
        <w:t xml:space="preserve"> определяющ</w:t>
      </w:r>
      <w:r w:rsidR="004D35D4">
        <w:rPr>
          <w:rFonts w:ascii="Times New Roman" w:hAnsi="Times New Roman" w:cs="Times New Roman"/>
          <w:sz w:val="28"/>
          <w:szCs w:val="28"/>
        </w:rPr>
        <w:t>ий</w:t>
      </w:r>
      <w:r w:rsidRPr="004D35D4">
        <w:rPr>
          <w:rFonts w:ascii="Times New Roman" w:hAnsi="Times New Roman" w:cs="Times New Roman"/>
          <w:sz w:val="28"/>
          <w:szCs w:val="28"/>
        </w:rPr>
        <w:t xml:space="preserve"> токсичность соединения для клеток, то есть концентрацию, при которой погибает 50% клеток;</w:t>
      </w:r>
    </w:p>
    <w:p w14:paraId="3BC0D09E" w14:textId="0B5E478D" w:rsidR="002A2BC2" w:rsidRPr="004D35D4" w:rsidRDefault="002A2BC2" w:rsidP="004D35D4">
      <w:pPr>
        <w:pStyle w:val="a7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IC₅₀, </w:t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полумаксимальная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ингибирующая концентрация</w:t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35D4">
        <w:rPr>
          <w:rFonts w:ascii="Times New Roman" w:hAnsi="Times New Roman" w:cs="Times New Roman"/>
          <w:sz w:val="28"/>
          <w:szCs w:val="28"/>
        </w:rPr>
        <w:t xml:space="preserve"> </w:t>
      </w:r>
      <w:r w:rsidRPr="004D35D4">
        <w:rPr>
          <w:rFonts w:ascii="Times New Roman" w:hAnsi="Times New Roman" w:cs="Times New Roman"/>
          <w:sz w:val="28"/>
          <w:szCs w:val="28"/>
        </w:rPr>
        <w:t>отражающ</w:t>
      </w:r>
      <w:r w:rsidR="004D35D4">
        <w:rPr>
          <w:rFonts w:ascii="Times New Roman" w:hAnsi="Times New Roman" w:cs="Times New Roman"/>
          <w:sz w:val="28"/>
          <w:szCs w:val="28"/>
        </w:rPr>
        <w:t>ий</w:t>
      </w:r>
      <w:r w:rsidRPr="004D35D4">
        <w:rPr>
          <w:rFonts w:ascii="Times New Roman" w:hAnsi="Times New Roman" w:cs="Times New Roman"/>
          <w:sz w:val="28"/>
          <w:szCs w:val="28"/>
        </w:rPr>
        <w:t xml:space="preserve"> эффективность соединения как ингибитора определенного биологического процесса;</w:t>
      </w:r>
    </w:p>
    <w:p w14:paraId="306F04E5" w14:textId="3FC5957B" w:rsidR="002A2BC2" w:rsidRPr="004D35D4" w:rsidRDefault="002A2BC2" w:rsidP="004D35D4">
      <w:pPr>
        <w:pStyle w:val="a7"/>
        <w:numPr>
          <w:ilvl w:val="0"/>
          <w:numId w:val="3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SI (индекс селективности</w:t>
      </w:r>
      <w:r w:rsidRPr="004D35D4">
        <w:rPr>
          <w:rFonts w:ascii="Times New Roman" w:hAnsi="Times New Roman" w:cs="Times New Roman"/>
          <w:sz w:val="28"/>
          <w:szCs w:val="28"/>
        </w:rPr>
        <w:t>), который рассчитывается как отношение CC₅₀ к IC₅₀ и показывает соотношение активности и токсичности.</w:t>
      </w:r>
      <w:r w:rsidR="00202166" w:rsidRPr="004D35D4">
        <w:rPr>
          <w:rFonts w:ascii="Times New Roman" w:hAnsi="Times New Roman" w:cs="Times New Roman"/>
          <w:sz w:val="28"/>
          <w:szCs w:val="28"/>
        </w:rPr>
        <w:t xml:space="preserve"> </w:t>
      </w:r>
      <w:r w:rsidR="00202166" w:rsidRPr="004D35D4">
        <w:rPr>
          <w:rFonts w:ascii="Times New Roman" w:hAnsi="Times New Roman" w:cs="Times New Roman"/>
          <w:sz w:val="28"/>
          <w:szCs w:val="28"/>
        </w:rPr>
        <w:t>Более высокое значение SI свидетельствует о большей безопасности и избирательности соединения.</w:t>
      </w:r>
    </w:p>
    <w:p w14:paraId="0685A30B" w14:textId="1B74D054" w:rsidR="00202166" w:rsidRPr="0020181A" w:rsidRDefault="00202166" w:rsidP="004D35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и оценка моделей машинного обучения (регрессии и классификации), способных предсказывать значения указанных показателей на основе структурных молекулярных дескрипторов с использованием обширного набора признаков</w:t>
      </w:r>
      <w:r w:rsidRPr="0020181A">
        <w:rPr>
          <w:rFonts w:ascii="Times New Roman" w:hAnsi="Times New Roman" w:cs="Times New Roman"/>
          <w:sz w:val="28"/>
          <w:szCs w:val="28"/>
        </w:rPr>
        <w:t>:</w:t>
      </w:r>
    </w:p>
    <w:p w14:paraId="3193AA88" w14:textId="09A256EE" w:rsidR="00202166" w:rsidRPr="004D35D4" w:rsidRDefault="00202166" w:rsidP="004D35D4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Общемолекулярные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дескрипторы</w:t>
      </w:r>
    </w:p>
    <w:p w14:paraId="164AD321" w14:textId="77777777" w:rsidR="00202166" w:rsidRPr="0020181A" w:rsidRDefault="00202166" w:rsidP="00996AA4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MolWt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молекулярная масса. </w:t>
      </w:r>
    </w:p>
    <w:p w14:paraId="4F9253F5" w14:textId="77777777" w:rsidR="00202166" w:rsidRPr="0020181A" w:rsidRDefault="00202166" w:rsidP="00996AA4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HeavyAtomCount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количество тяжёлых атомов (не включая водород). </w:t>
      </w:r>
    </w:p>
    <w:p w14:paraId="3BABB5F8" w14:textId="77777777" w:rsidR="00202166" w:rsidRPr="0020181A" w:rsidRDefault="00202166" w:rsidP="00996AA4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NumValenceElectrons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общее количество валентных электронов. </w:t>
      </w:r>
    </w:p>
    <w:p w14:paraId="4570CE60" w14:textId="77777777" w:rsidR="00202166" w:rsidRPr="0020181A" w:rsidRDefault="00202166" w:rsidP="00996AA4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NumRadicalElectrons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количество неспаренных (радикальных) электронов. </w:t>
      </w:r>
    </w:p>
    <w:p w14:paraId="4097B46D" w14:textId="2A80C3EA" w:rsidR="00202166" w:rsidRPr="0020181A" w:rsidRDefault="00202166" w:rsidP="00996AA4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FractionCSP3: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доля spі</w:t>
      </w:r>
      <w:r w:rsidRPr="0020181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0181A">
        <w:rPr>
          <w:rFonts w:ascii="Times New Roman" w:hAnsi="Times New Roman" w:cs="Times New Roman"/>
          <w:sz w:val="28"/>
          <w:szCs w:val="28"/>
        </w:rPr>
        <w:t xml:space="preserve">-гибридизованных атомов углерода. </w:t>
      </w:r>
      <w:r w:rsidRPr="0020181A">
        <w:rPr>
          <w:rFonts w:ascii="Times New Roman" w:hAnsi="Times New Roman" w:cs="Times New Roman"/>
          <w:sz w:val="28"/>
          <w:szCs w:val="28"/>
        </w:rPr>
        <w:cr/>
        <w:t>TPSA: топологическая полярная поверхность, оценивает проницаемость через мембраны.</w:t>
      </w:r>
    </w:p>
    <w:p w14:paraId="0C3A056F" w14:textId="77777777" w:rsidR="00202166" w:rsidRPr="0020181A" w:rsidRDefault="00202166" w:rsidP="00996AA4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MolLogP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логарифм коэффициента распределения (гидрофобность). </w:t>
      </w:r>
    </w:p>
    <w:p w14:paraId="044D546A" w14:textId="493CB9F1" w:rsidR="00202166" w:rsidRPr="0020181A" w:rsidRDefault="00202166" w:rsidP="00996AA4">
      <w:pPr>
        <w:pStyle w:val="a7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MolMR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молекулярная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рефрактивность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(показатель поляризуемости). </w:t>
      </w:r>
      <w:r w:rsidRPr="0020181A">
        <w:rPr>
          <w:rFonts w:ascii="Times New Roman" w:hAnsi="Times New Roman" w:cs="Times New Roman"/>
          <w:sz w:val="28"/>
          <w:szCs w:val="28"/>
        </w:rPr>
        <w:cr/>
        <w:t xml:space="preserve">QED представляет собой комплексную числовую характеристику "лекарственной способности" молекулы, которая учитывает её химические и физические свойства. Этот показатель позволяет оценить потенциал соединения для создания медикаментов. На практике расчет QED осуществляется с применением специализированного программного обеспечения и библиотек в области химической информатики, таких как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RDKit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>.</w:t>
      </w:r>
    </w:p>
    <w:p w14:paraId="5F6F8723" w14:textId="2910C165" w:rsidR="00997326" w:rsidRPr="004D35D4" w:rsidRDefault="00997326" w:rsidP="004D35D4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Топологические дескрипторы</w:t>
      </w:r>
    </w:p>
    <w:p w14:paraId="35779187" w14:textId="77777777" w:rsidR="00997326" w:rsidRPr="0020181A" w:rsidRDefault="00997326" w:rsidP="00996AA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HallKierAlpha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эмпирический дескриптор стерической насыщенности т.е. насколько молекула "заполнена" в </w:t>
      </w:r>
    </w:p>
    <w:p w14:paraId="36F68C7A" w14:textId="4716AF86" w:rsidR="00997326" w:rsidRPr="0020181A" w:rsidRDefault="00997326" w:rsidP="00996AA4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пространстве.</w:t>
      </w:r>
    </w:p>
    <w:p w14:paraId="04EEA4FE" w14:textId="77777777" w:rsidR="00997326" w:rsidRPr="0020181A" w:rsidRDefault="00997326" w:rsidP="00996AA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Kappa1, Kappa2, Kappa3: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индексы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Кьера</w:t>
      </w:r>
      <w:proofErr w:type="spellEnd"/>
      <w:proofErr w:type="gramStart"/>
      <w:r w:rsidRPr="0020181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0181A">
        <w:rPr>
          <w:rFonts w:ascii="Times New Roman" w:hAnsi="Times New Roman" w:cs="Times New Roman"/>
          <w:sz w:val="28"/>
          <w:szCs w:val="28"/>
        </w:rPr>
        <w:t xml:space="preserve"> которые характеризуют форму молекулы, её компактность и степень </w:t>
      </w:r>
    </w:p>
    <w:p w14:paraId="10E83340" w14:textId="6454EACF" w:rsidR="00997326" w:rsidRPr="0020181A" w:rsidRDefault="00997326" w:rsidP="00996AA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 xml:space="preserve">разветвлённости. </w:t>
      </w:r>
      <w:r w:rsidRPr="0020181A">
        <w:rPr>
          <w:rFonts w:ascii="Times New Roman" w:hAnsi="Times New Roman" w:cs="Times New Roman"/>
          <w:sz w:val="28"/>
          <w:szCs w:val="28"/>
        </w:rPr>
        <w:cr/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Chi0, Chi1, ..., Chi4v: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индексы связности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Чи</w:t>
      </w:r>
      <w:proofErr w:type="spellEnd"/>
      <w:proofErr w:type="gramStart"/>
      <w:r w:rsidRPr="0020181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0181A">
        <w:rPr>
          <w:rFonts w:ascii="Times New Roman" w:hAnsi="Times New Roman" w:cs="Times New Roman"/>
          <w:sz w:val="28"/>
          <w:szCs w:val="28"/>
        </w:rPr>
        <w:t xml:space="preserve"> отражающие молекулярную топологию и связанные с числом </w:t>
      </w:r>
    </w:p>
    <w:p w14:paraId="7C114A1A" w14:textId="7CEE6135" w:rsidR="00997326" w:rsidRPr="0020181A" w:rsidRDefault="00997326" w:rsidP="00996AA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 xml:space="preserve">связей, типом атомов и степенью разветвления. </w:t>
      </w:r>
      <w:r w:rsidRPr="0020181A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BalabanJ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и</w:t>
      </w:r>
      <w:r w:rsidRPr="0020181A">
        <w:rPr>
          <w:rFonts w:ascii="Times New Roman" w:hAnsi="Times New Roman" w:cs="Times New Roman"/>
          <w:sz w:val="28"/>
          <w:szCs w:val="28"/>
        </w:rPr>
        <w:t>ндекс связности Балабана (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BalabanJ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>) принимает во внимание длину путей и наличие циклов в молекуле, что даёт возможность оценить уровень разветвлённости и топологическую сложность структуры.</w:t>
      </w:r>
    </w:p>
    <w:p w14:paraId="018C0D27" w14:textId="6C8B0F0B" w:rsidR="00997326" w:rsidRDefault="00997326" w:rsidP="00996AA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Ipc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AvgIpc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BertzCT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</w:rPr>
        <w:t xml:space="preserve">индексы, отражающие информационные и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сложностные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характеристики, основанные на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графовом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анализе молекулы. Эти индексы служат для количественной оценки разнообразия и запутанности структуры.</w:t>
      </w:r>
    </w:p>
    <w:p w14:paraId="591705B5" w14:textId="77777777" w:rsidR="004D35D4" w:rsidRDefault="004D35D4" w:rsidP="004D3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13D1B4" w14:textId="77777777" w:rsidR="004D35D4" w:rsidRPr="004D35D4" w:rsidRDefault="004D35D4" w:rsidP="004D3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EA2B0" w14:textId="28A77EEE" w:rsidR="00997326" w:rsidRPr="004D35D4" w:rsidRDefault="00997326" w:rsidP="004D35D4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Электронные дескрипторы</w:t>
      </w:r>
    </w:p>
    <w:p w14:paraId="526D29E1" w14:textId="5CCCC250" w:rsidR="00997326" w:rsidRPr="0020181A" w:rsidRDefault="00997326" w:rsidP="00996AA4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MaxPartialCharge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MinPartialCharge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MaxAbsPartialCharge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MinAbsPartialCharge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181A">
        <w:rPr>
          <w:rFonts w:ascii="Times New Roman" w:hAnsi="Times New Roman" w:cs="Times New Roman"/>
          <w:sz w:val="28"/>
          <w:szCs w:val="28"/>
        </w:rPr>
        <w:t>максимальные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</w:rPr>
        <w:t>значения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B30AD6" w14:textId="53B55CDC" w:rsidR="00997326" w:rsidRPr="0020181A" w:rsidRDefault="00997326" w:rsidP="00996AA4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 xml:space="preserve">частичных зарядов. </w:t>
      </w:r>
      <w:r w:rsidRPr="0020181A">
        <w:rPr>
          <w:rFonts w:ascii="Times New Roman" w:hAnsi="Times New Roman" w:cs="Times New Roman"/>
          <w:sz w:val="28"/>
          <w:szCs w:val="28"/>
        </w:rPr>
        <w:cr/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PEOE_VSA</w:t>
      </w:r>
      <w:r w:rsidRPr="0020181A">
        <w:rPr>
          <w:rFonts w:ascii="Times New Roman" w:hAnsi="Times New Roman" w:cs="Times New Roman"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</w:rPr>
        <w:t>набор дескрипторов, описывающих распределение электрических зарядов, полученных с помощью метода выравнивания орбитальной электроотрицательности (PEOE).</w:t>
      </w:r>
    </w:p>
    <w:p w14:paraId="352A0D38" w14:textId="3D138B97" w:rsidR="00997326" w:rsidRPr="0020181A" w:rsidRDefault="00997326" w:rsidP="00996AA4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EState_VSA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сумма</w:t>
      </w:r>
      <w:r w:rsidRPr="0020181A">
        <w:rPr>
          <w:rFonts w:ascii="Times New Roman" w:hAnsi="Times New Roman" w:cs="Times New Roman"/>
          <w:sz w:val="28"/>
          <w:szCs w:val="28"/>
        </w:rPr>
        <w:t xml:space="preserve"> данных о состоянии заряда и их пространственной конфигурации в молекуле.</w:t>
      </w:r>
    </w:p>
    <w:p w14:paraId="5A4E33AB" w14:textId="6D10D815" w:rsidR="00997326" w:rsidRPr="0020181A" w:rsidRDefault="00997326" w:rsidP="00996AA4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MaxEStateIndex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MinEStateIndex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MaxAbsEStateIndex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MinAbsEStateIndex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максимальные</w:t>
      </w:r>
      <w:r w:rsidRPr="0020181A">
        <w:rPr>
          <w:rFonts w:ascii="Times New Roman" w:hAnsi="Times New Roman" w:cs="Times New Roman"/>
          <w:sz w:val="28"/>
          <w:szCs w:val="28"/>
        </w:rPr>
        <w:t xml:space="preserve"> значения индекса </w:t>
      </w:r>
    </w:p>
    <w:p w14:paraId="67078E80" w14:textId="2ECD732B" w:rsidR="00997326" w:rsidRPr="0020181A" w:rsidRDefault="00997326" w:rsidP="00996AA4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электротопологического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состояния. </w:t>
      </w:r>
    </w:p>
    <w:p w14:paraId="5B146E04" w14:textId="3C28D71F" w:rsidR="00997326" w:rsidRPr="004D35D4" w:rsidRDefault="00997326" w:rsidP="004D35D4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VSA-дескрипторы</w:t>
      </w:r>
    </w:p>
    <w:p w14:paraId="60238DC5" w14:textId="2014DF77" w:rsidR="00997326" w:rsidRPr="0020181A" w:rsidRDefault="00997326" w:rsidP="00996AA4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VSA</w:t>
      </w:r>
      <w:r w:rsidRPr="0020181A">
        <w:rPr>
          <w:rFonts w:ascii="Times New Roman" w:hAnsi="Times New Roman" w:cs="Times New Roman"/>
          <w:sz w:val="28"/>
          <w:szCs w:val="28"/>
        </w:rPr>
        <w:t>-дескрипторы (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>Van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>Waals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20181A">
        <w:rPr>
          <w:rFonts w:ascii="Times New Roman" w:hAnsi="Times New Roman" w:cs="Times New Roman"/>
          <w:sz w:val="28"/>
          <w:szCs w:val="28"/>
        </w:rPr>
        <w:t>) —</w:t>
      </w:r>
      <w:r w:rsidRPr="0020181A">
        <w:rPr>
          <w:rFonts w:ascii="Times New Roman" w:hAnsi="Times New Roman" w:cs="Times New Roman"/>
          <w:sz w:val="28"/>
          <w:szCs w:val="28"/>
        </w:rPr>
        <w:t xml:space="preserve"> </w:t>
      </w:r>
      <w:r w:rsidRPr="0020181A">
        <w:rPr>
          <w:rFonts w:ascii="Times New Roman" w:hAnsi="Times New Roman" w:cs="Times New Roman"/>
          <w:sz w:val="28"/>
          <w:szCs w:val="28"/>
        </w:rPr>
        <w:t>представляют собой параметры, которые иллюстрируют распределение физико-химических свойств по поверхности молекулы. Эти характеристики основаны на площади ван-дер-ваальсовых поверхностей атомов.</w:t>
      </w:r>
    </w:p>
    <w:p w14:paraId="70BED094" w14:textId="77777777" w:rsidR="00997326" w:rsidRPr="0020181A" w:rsidRDefault="00997326" w:rsidP="00996AA4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SMR_VSA1–10: </w:t>
      </w:r>
      <w:r w:rsidRPr="0020181A">
        <w:rPr>
          <w:rFonts w:ascii="Times New Roman" w:hAnsi="Times New Roman" w:cs="Times New Roman"/>
          <w:sz w:val="28"/>
          <w:szCs w:val="28"/>
        </w:rPr>
        <w:t xml:space="preserve">связаны с молекулярной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рефрактивностью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54A683" w14:textId="77777777" w:rsidR="00997326" w:rsidRPr="0020181A" w:rsidRDefault="00997326" w:rsidP="00996AA4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SlogP_VSA1–12</w:t>
      </w:r>
      <w:r w:rsidRPr="0020181A">
        <w:rPr>
          <w:rFonts w:ascii="Times New Roman" w:hAnsi="Times New Roman" w:cs="Times New Roman"/>
          <w:sz w:val="28"/>
          <w:szCs w:val="28"/>
        </w:rPr>
        <w:t>: связь с гидрофобностью (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logP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184ED65" w14:textId="77777777" w:rsidR="00997326" w:rsidRPr="0020181A" w:rsidRDefault="00997326" w:rsidP="00996AA4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EState_VSA1–10</w:t>
      </w:r>
      <w:r w:rsidRPr="002018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электротопология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 по поверхности. </w:t>
      </w:r>
    </w:p>
    <w:p w14:paraId="03A5763A" w14:textId="48769171" w:rsidR="00997326" w:rsidRPr="0020181A" w:rsidRDefault="00997326" w:rsidP="00996AA4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PEOE_VSA1–14</w:t>
      </w:r>
      <w:r w:rsidRPr="0020181A">
        <w:rPr>
          <w:rFonts w:ascii="Times New Roman" w:hAnsi="Times New Roman" w:cs="Times New Roman"/>
          <w:sz w:val="28"/>
          <w:szCs w:val="28"/>
        </w:rPr>
        <w:t xml:space="preserve">: связь с частичными зарядами. </w:t>
      </w:r>
      <w:r w:rsidRPr="0020181A">
        <w:rPr>
          <w:rFonts w:ascii="Times New Roman" w:hAnsi="Times New Roman" w:cs="Times New Roman"/>
          <w:sz w:val="28"/>
          <w:szCs w:val="28"/>
        </w:rPr>
        <w:t>5</w:t>
      </w:r>
    </w:p>
    <w:p w14:paraId="566C50AE" w14:textId="4CB6B2FD" w:rsidR="00997326" w:rsidRPr="004D35D4" w:rsidRDefault="00997326" w:rsidP="004D35D4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BCUT-дескрипторы</w:t>
      </w:r>
    </w:p>
    <w:p w14:paraId="5ED4BABF" w14:textId="77777777" w:rsidR="00997326" w:rsidRPr="0020181A" w:rsidRDefault="00997326" w:rsidP="004D35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Метод визуализации молекулярной структуры через числовой вектор, который отражает как физико-химические характеристики, так и структурные детали. Для этого используется взвешенная матрица смежности, созданная на основе молекулярной структуры, с последующим получением собственных значений этой матрицы.</w:t>
      </w:r>
    </w:p>
    <w:p w14:paraId="7AD8DC74" w14:textId="77777777" w:rsidR="00997326" w:rsidRPr="0020181A" w:rsidRDefault="00997326" w:rsidP="00996AA4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BCUT2D_MWHI / MWLOW:</w:t>
      </w:r>
      <w:r w:rsidRPr="0020181A">
        <w:rPr>
          <w:rFonts w:ascii="Times New Roman" w:hAnsi="Times New Roman" w:cs="Times New Roman"/>
          <w:sz w:val="28"/>
          <w:szCs w:val="28"/>
        </w:rPr>
        <w:t xml:space="preserve"> с учётом молекулярной массы. </w:t>
      </w:r>
    </w:p>
    <w:p w14:paraId="6C8E3B29" w14:textId="77777777" w:rsidR="00997326" w:rsidRPr="0020181A" w:rsidRDefault="00997326" w:rsidP="00996AA4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BCUT2D_CHGHI / CHGLOW: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по заряду. </w:t>
      </w:r>
    </w:p>
    <w:p w14:paraId="6FBBB82E" w14:textId="06A803E8" w:rsidR="00997326" w:rsidRPr="0020181A" w:rsidRDefault="00997326" w:rsidP="00996AA4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BCUT2D_MRHI / MRLOW: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по молекулярной </w:t>
      </w:r>
      <w:proofErr w:type="spellStart"/>
      <w:r w:rsidRPr="0020181A">
        <w:rPr>
          <w:rFonts w:ascii="Times New Roman" w:hAnsi="Times New Roman" w:cs="Times New Roman"/>
          <w:sz w:val="28"/>
          <w:szCs w:val="28"/>
        </w:rPr>
        <w:t>рефрактивности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>.</w:t>
      </w:r>
    </w:p>
    <w:p w14:paraId="09C3082D" w14:textId="7734E4DA" w:rsidR="00997326" w:rsidRPr="004D35D4" w:rsidRDefault="00997326" w:rsidP="004D35D4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Фрагментные дескрипторы</w:t>
      </w:r>
    </w:p>
    <w:p w14:paraId="02ED5E02" w14:textId="6C39589D" w:rsidR="00997326" w:rsidRPr="0020181A" w:rsidRDefault="00997326" w:rsidP="004D35D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Это числовые характеристики, показывающие, присутствуют ли в молекуле определенные химические группы или структурные элементы, а также указывающие на их количество. Они могут принимать бинарные значения (присутствует/отсутствует) или быть счетными (количество повторений).</w:t>
      </w:r>
    </w:p>
    <w:p w14:paraId="4FAD6008" w14:textId="77777777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Фенолы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fr_phenol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fr_Ar_OH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949F237" w14:textId="77777777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Амины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fr_NH2,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fr_amine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fr_aniline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DE039E" w14:textId="77777777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Азосоединения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fr_azide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fr_azo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fr_diazo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43DA3DB" w14:textId="77777777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Галогены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fr_halogen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fr_alkyl_halide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C3F223" w14:textId="77777777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Барбитураты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fr_barbitur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2CD991" w14:textId="77777777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Нитро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fr_nitro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fr_nitro_arom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EA37A01" w14:textId="77777777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Лактон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4D35D4">
        <w:rPr>
          <w:rFonts w:ascii="Times New Roman" w:hAnsi="Times New Roman" w:cs="Times New Roman"/>
          <w:b/>
          <w:bCs/>
          <w:sz w:val="28"/>
          <w:szCs w:val="28"/>
        </w:rPr>
        <w:t>лактам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fr_lactone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fr_lactam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B33A9C8" w14:textId="308C2240" w:rsidR="00997326" w:rsidRPr="0020181A" w:rsidRDefault="00997326" w:rsidP="004D35D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Кольца</w:t>
      </w:r>
      <w:r w:rsidRPr="004D35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fr_benzene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fr_pyridine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fr_furan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181A">
        <w:rPr>
          <w:rFonts w:ascii="Times New Roman" w:hAnsi="Times New Roman" w:cs="Times New Roman"/>
          <w:sz w:val="28"/>
          <w:szCs w:val="28"/>
          <w:lang w:val="en-US"/>
        </w:rPr>
        <w:t>fr_thiazole</w:t>
      </w:r>
      <w:proofErr w:type="spellEnd"/>
      <w:r w:rsidRPr="002018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74C1AE" w14:textId="64B7735F" w:rsidR="00997326" w:rsidRPr="004D35D4" w:rsidRDefault="0020181A" w:rsidP="004D35D4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5D4">
        <w:rPr>
          <w:rFonts w:ascii="Times New Roman" w:hAnsi="Times New Roman" w:cs="Times New Roman"/>
          <w:b/>
          <w:bCs/>
          <w:sz w:val="28"/>
          <w:szCs w:val="28"/>
        </w:rPr>
        <w:t>Структурные количественные дескрипторы</w:t>
      </w:r>
    </w:p>
    <w:p w14:paraId="4D27F4B5" w14:textId="44245BCB" w:rsidR="0020181A" w:rsidRPr="0020181A" w:rsidRDefault="0020181A" w:rsidP="004D35D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Характеризуют ключевые аспекты молекулярной структуры, которые отображают возможные свойства молекул, оказывающие влияние на их фармакокинетику, реакционную активность и эффективность в качестве лекарств.</w:t>
      </w:r>
    </w:p>
    <w:p w14:paraId="622A2A93" w14:textId="77777777" w:rsidR="0020181A" w:rsidRPr="0020181A" w:rsidRDefault="0020181A" w:rsidP="004D35D4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NumHAcceptors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NumHDonors</w:t>
      </w:r>
      <w:proofErr w:type="spellEnd"/>
      <w:r w:rsidRPr="0020181A">
        <w:rPr>
          <w:rFonts w:ascii="Times New Roman" w:hAnsi="Times New Roman" w:cs="Times New Roman"/>
          <w:sz w:val="28"/>
          <w:szCs w:val="28"/>
        </w:rPr>
        <w:t xml:space="preserve">: акцепторы/доноры водородных связей. </w:t>
      </w:r>
    </w:p>
    <w:p w14:paraId="06B03F91" w14:textId="77777777" w:rsidR="0020181A" w:rsidRPr="0020181A" w:rsidRDefault="0020181A" w:rsidP="004D35D4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NumRotatableBonds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количество вращающихся связей. </w:t>
      </w:r>
    </w:p>
    <w:p w14:paraId="32836250" w14:textId="77777777" w:rsidR="0020181A" w:rsidRPr="0020181A" w:rsidRDefault="0020181A" w:rsidP="004D35D4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NumAromaticRings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NumAliphaticRings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NumSaturatedRings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кольцевые структуры. </w:t>
      </w:r>
    </w:p>
    <w:p w14:paraId="755F5939" w14:textId="77777777" w:rsidR="0020181A" w:rsidRPr="0020181A" w:rsidRDefault="0020181A" w:rsidP="004D35D4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NumHeteroatoms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количество гетероатомов. </w:t>
      </w:r>
    </w:p>
    <w:p w14:paraId="6A379540" w14:textId="5A3B1C3B" w:rsidR="00996AA4" w:rsidRDefault="0020181A" w:rsidP="00996AA4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D35D4">
        <w:rPr>
          <w:rFonts w:ascii="Times New Roman" w:hAnsi="Times New Roman" w:cs="Times New Roman"/>
          <w:b/>
          <w:bCs/>
          <w:sz w:val="28"/>
          <w:szCs w:val="28"/>
        </w:rPr>
        <w:t>RingCount</w:t>
      </w:r>
      <w:proofErr w:type="spellEnd"/>
      <w:r w:rsidRPr="004D35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181A">
        <w:rPr>
          <w:rFonts w:ascii="Times New Roman" w:hAnsi="Times New Roman" w:cs="Times New Roman"/>
          <w:sz w:val="28"/>
          <w:szCs w:val="28"/>
        </w:rPr>
        <w:t xml:space="preserve"> общее количество колец. </w:t>
      </w:r>
      <w:r w:rsidRPr="0020181A">
        <w:rPr>
          <w:rFonts w:ascii="Times New Roman" w:hAnsi="Times New Roman" w:cs="Times New Roman"/>
          <w:sz w:val="28"/>
          <w:szCs w:val="28"/>
        </w:rPr>
        <w:cr/>
      </w:r>
      <w:r w:rsidR="00996AA4">
        <w:rPr>
          <w:rFonts w:ascii="Times New Roman" w:hAnsi="Times New Roman" w:cs="Times New Roman"/>
          <w:sz w:val="28"/>
          <w:szCs w:val="28"/>
        </w:rPr>
        <w:br w:type="page"/>
      </w:r>
    </w:p>
    <w:p w14:paraId="5A86454F" w14:textId="77777777" w:rsidR="0020181A" w:rsidRPr="00996AA4" w:rsidRDefault="0020181A" w:rsidP="00996AA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A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proofErr w:type="spellStart"/>
      <w:r w:rsidRPr="00996AA4">
        <w:rPr>
          <w:rFonts w:ascii="Times New Roman" w:hAnsi="Times New Roman" w:cs="Times New Roman"/>
          <w:b/>
          <w:bCs/>
          <w:sz w:val="28"/>
          <w:szCs w:val="28"/>
        </w:rPr>
        <w:t>посторения</w:t>
      </w:r>
      <w:proofErr w:type="spellEnd"/>
      <w:r w:rsidRPr="00996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6AA4">
        <w:rPr>
          <w:rFonts w:ascii="Times New Roman" w:hAnsi="Times New Roman" w:cs="Times New Roman"/>
          <w:b/>
          <w:bCs/>
          <w:sz w:val="28"/>
          <w:szCs w:val="28"/>
        </w:rPr>
        <w:t>моделй</w:t>
      </w:r>
      <w:proofErr w:type="spellEnd"/>
    </w:p>
    <w:p w14:paraId="6BA765DF" w14:textId="0A8CE6FE" w:rsidR="0020181A" w:rsidRPr="00996AA4" w:rsidRDefault="0020181A" w:rsidP="00996AA4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AA4">
        <w:rPr>
          <w:rFonts w:ascii="Times New Roman" w:hAnsi="Times New Roman" w:cs="Times New Roman"/>
          <w:b/>
          <w:bCs/>
          <w:sz w:val="28"/>
          <w:szCs w:val="28"/>
        </w:rPr>
        <w:t>Задача классификации</w:t>
      </w:r>
    </w:p>
    <w:p w14:paraId="711026B9" w14:textId="77777777" w:rsidR="0020181A" w:rsidRPr="0020181A" w:rsidRDefault="0020181A" w:rsidP="00996AA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Модели классификации будут применяться для распределения соединений по категориям, таким как активные и неактивные (на основе порога IC₅₀), токсичные и нетоксичные (по порогу CC₅₀), а также селективные и неселективные (по порогу SI).</w:t>
      </w:r>
    </w:p>
    <w:p w14:paraId="0F560CA8" w14:textId="77777777" w:rsidR="00996AA4" w:rsidRDefault="0020181A" w:rsidP="00996AA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6AA4">
        <w:rPr>
          <w:rFonts w:ascii="Times New Roman" w:hAnsi="Times New Roman" w:cs="Times New Roman"/>
          <w:sz w:val="28"/>
          <w:szCs w:val="28"/>
          <w:u w:val="single"/>
        </w:rPr>
        <w:t>Цели, которые необходимо достигнуть:</w:t>
      </w:r>
    </w:p>
    <w:p w14:paraId="4E4B2AC3" w14:textId="77777777" w:rsidR="00996AA4" w:rsidRDefault="0020181A" w:rsidP="00996AA4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 xml:space="preserve">важно установить, можно ли надежно делить соединения по заранее установленным биологическим критериям; определить, </w:t>
      </w:r>
    </w:p>
    <w:p w14:paraId="13AA8AA2" w14:textId="4E2A7805" w:rsidR="0020181A" w:rsidRPr="0020181A" w:rsidRDefault="0020181A" w:rsidP="00996AA4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какие характеристики имеют наибольшее значение для разделения классов; а также оценить возможность использования модели для исключения неэффективных или опасных соединений на ранних этапах исследования.</w:t>
      </w:r>
    </w:p>
    <w:p w14:paraId="4E554694" w14:textId="77777777" w:rsidR="00996AA4" w:rsidRPr="00996AA4" w:rsidRDefault="0020181A" w:rsidP="00996AA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6AA4">
        <w:rPr>
          <w:rFonts w:ascii="Times New Roman" w:hAnsi="Times New Roman" w:cs="Times New Roman"/>
          <w:sz w:val="28"/>
          <w:szCs w:val="28"/>
          <w:u w:val="single"/>
        </w:rPr>
        <w:t>Выводы, которые можно сделать после создания моделей:</w:t>
      </w:r>
    </w:p>
    <w:p w14:paraId="22818F73" w14:textId="77777777" w:rsidR="00996AA4" w:rsidRDefault="0020181A" w:rsidP="00996AA4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 xml:space="preserve">выявить, какие структурные черты чаще всего встречаются у активных и безопасных соединений; </w:t>
      </w:r>
    </w:p>
    <w:p w14:paraId="5463A11E" w14:textId="77777777" w:rsidR="00996AA4" w:rsidRDefault="0020181A" w:rsidP="00996AA4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 xml:space="preserve">оценить, насколько эффективны модели для задач высокопроизводительного скрининга (HTS); </w:t>
      </w:r>
    </w:p>
    <w:p w14:paraId="10953369" w14:textId="06786913" w:rsidR="0020181A" w:rsidRPr="0020181A" w:rsidRDefault="0020181A" w:rsidP="00996AA4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1A">
        <w:rPr>
          <w:rFonts w:ascii="Times New Roman" w:hAnsi="Times New Roman" w:cs="Times New Roman"/>
          <w:sz w:val="28"/>
          <w:szCs w:val="28"/>
        </w:rPr>
        <w:t>определить, в какой мере модели могут быть использованы для первоочередного выбора кандидатов на синтез.</w:t>
      </w:r>
    </w:p>
    <w:p w14:paraId="217F6FBC" w14:textId="18BA74EB" w:rsidR="0020181A" w:rsidRPr="00996AA4" w:rsidRDefault="0020181A" w:rsidP="00996AA4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AA4">
        <w:rPr>
          <w:rFonts w:ascii="Times New Roman" w:hAnsi="Times New Roman" w:cs="Times New Roman"/>
          <w:b/>
          <w:bCs/>
          <w:sz w:val="28"/>
          <w:szCs w:val="28"/>
        </w:rPr>
        <w:t>Задача регрессии</w:t>
      </w:r>
    </w:p>
    <w:p w14:paraId="0F90C10B" w14:textId="77777777" w:rsidR="0020181A" w:rsidRPr="00996AA4" w:rsidRDefault="0020181A" w:rsidP="00996AA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6AA4">
        <w:rPr>
          <w:rFonts w:ascii="Times New Roman" w:hAnsi="Times New Roman" w:cs="Times New Roman"/>
          <w:sz w:val="28"/>
          <w:szCs w:val="28"/>
          <w:u w:val="single"/>
        </w:rPr>
        <w:t>Необходимо продемонстрировать следующее:</w:t>
      </w:r>
    </w:p>
    <w:p w14:paraId="08B899F9" w14:textId="142A061F" w:rsidR="00996AA4" w:rsidRDefault="00996AA4" w:rsidP="00996AA4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0181A" w:rsidRPr="0020181A">
        <w:rPr>
          <w:rFonts w:ascii="Times New Roman" w:hAnsi="Times New Roman" w:cs="Times New Roman"/>
          <w:sz w:val="28"/>
          <w:szCs w:val="28"/>
        </w:rPr>
        <w:t>акова степень точности в предсказании значений активности, токсичности и селективности соединений, основываясь на их структурных особенностях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657C20" w14:textId="77777777" w:rsidR="00996AA4" w:rsidRDefault="00996AA4" w:rsidP="00996AA4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0181A" w:rsidRPr="0020181A">
        <w:rPr>
          <w:rFonts w:ascii="Times New Roman" w:hAnsi="Times New Roman" w:cs="Times New Roman"/>
          <w:sz w:val="28"/>
          <w:szCs w:val="28"/>
        </w:rPr>
        <w:t>акие дескрипторы (структурные характеристики) оказывают наибольшее воздействие на каждую из метрик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529F56" w14:textId="48851271" w:rsidR="0020181A" w:rsidRDefault="00996AA4" w:rsidP="00996AA4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0181A" w:rsidRPr="0020181A">
        <w:rPr>
          <w:rFonts w:ascii="Times New Roman" w:hAnsi="Times New Roman" w:cs="Times New Roman"/>
          <w:sz w:val="28"/>
          <w:szCs w:val="28"/>
        </w:rPr>
        <w:t>ак можно сопоставлять соединения друг с другом и оценивать их по предсказанным значениям активности и безопасности.</w:t>
      </w:r>
    </w:p>
    <w:p w14:paraId="06EDE962" w14:textId="77777777" w:rsidR="00996AA4" w:rsidRDefault="00996AA4" w:rsidP="00996AA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BA8A5E" w14:textId="77777777" w:rsidR="00996AA4" w:rsidRPr="00996AA4" w:rsidRDefault="00996AA4" w:rsidP="00996AA4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3C19C" w14:textId="545BED72" w:rsidR="0020181A" w:rsidRPr="00996AA4" w:rsidRDefault="0020181A" w:rsidP="00996AA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6AA4">
        <w:rPr>
          <w:rFonts w:ascii="Times New Roman" w:hAnsi="Times New Roman" w:cs="Times New Roman"/>
          <w:sz w:val="28"/>
          <w:szCs w:val="28"/>
          <w:u w:val="single"/>
        </w:rPr>
        <w:lastRenderedPageBreak/>
        <w:t>Из построенных моделей можно</w:t>
      </w:r>
      <w:r w:rsidRPr="00996AA4">
        <w:rPr>
          <w:rFonts w:ascii="Times New Roman" w:hAnsi="Times New Roman" w:cs="Times New Roman"/>
          <w:sz w:val="28"/>
          <w:szCs w:val="28"/>
          <w:u w:val="single"/>
        </w:rPr>
        <w:t xml:space="preserve"> попробовать</w:t>
      </w:r>
      <w:r w:rsidRPr="00996AA4">
        <w:rPr>
          <w:rFonts w:ascii="Times New Roman" w:hAnsi="Times New Roman" w:cs="Times New Roman"/>
          <w:sz w:val="28"/>
          <w:szCs w:val="28"/>
          <w:u w:val="single"/>
        </w:rPr>
        <w:t xml:space="preserve"> сделать такие выводы:</w:t>
      </w:r>
    </w:p>
    <w:p w14:paraId="42175D76" w14:textId="77777777" w:rsidR="00996AA4" w:rsidRDefault="00996AA4" w:rsidP="00996AA4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0181A" w:rsidRPr="0020181A">
        <w:rPr>
          <w:rFonts w:ascii="Times New Roman" w:hAnsi="Times New Roman" w:cs="Times New Roman"/>
          <w:sz w:val="28"/>
          <w:szCs w:val="28"/>
        </w:rPr>
        <w:t>акие структурные параметры в наибольшей степени связаны с высокой активностью (низким IC₅₀) или значительной токсичностью (низким CC₅₀)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76854D" w14:textId="77777777" w:rsidR="00996AA4" w:rsidRDefault="00996AA4" w:rsidP="00996AA4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0181A" w:rsidRPr="0020181A">
        <w:rPr>
          <w:rFonts w:ascii="Times New Roman" w:hAnsi="Times New Roman" w:cs="Times New Roman"/>
          <w:sz w:val="28"/>
          <w:szCs w:val="28"/>
        </w:rPr>
        <w:t>озможно ли разработать «идеальное» соединение с высоким SI (высокой селективностью)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B847B1" w14:textId="52D1AA13" w:rsidR="0020181A" w:rsidRDefault="00996AA4" w:rsidP="00996AA4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0181A" w:rsidRPr="0020181A">
        <w:rPr>
          <w:rFonts w:ascii="Times New Roman" w:hAnsi="Times New Roman" w:cs="Times New Roman"/>
          <w:sz w:val="28"/>
          <w:szCs w:val="28"/>
        </w:rPr>
        <w:t>асколько точно дескрипторы могут быть применены для количественного предсказания (оценка возможности использования модели в химическом дизайне).</w:t>
      </w:r>
    </w:p>
    <w:p w14:paraId="27830750" w14:textId="3E3F8606" w:rsidR="00996AA4" w:rsidRPr="00996AA4" w:rsidRDefault="00996AA4" w:rsidP="0029109F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AA4">
        <w:rPr>
          <w:rFonts w:ascii="Times New Roman" w:hAnsi="Times New Roman" w:cs="Times New Roman"/>
          <w:b/>
          <w:bCs/>
          <w:sz w:val="28"/>
          <w:szCs w:val="28"/>
        </w:rPr>
        <w:t>Анализ и подготовка данных</w:t>
      </w:r>
    </w:p>
    <w:p w14:paraId="39FB803F" w14:textId="34760B92" w:rsidR="00996AA4" w:rsidRDefault="00996AA4" w:rsidP="0029109F">
      <w:pPr>
        <w:pStyle w:val="a7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целевых переменных</w:t>
      </w:r>
    </w:p>
    <w:p w14:paraId="28AED000" w14:textId="37C2FFD6" w:rsidR="00996AA4" w:rsidRDefault="00996AA4" w:rsidP="0029109F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AA4">
        <w:rPr>
          <w:rFonts w:ascii="Times New Roman" w:hAnsi="Times New Roman" w:cs="Times New Roman"/>
          <w:sz w:val="28"/>
          <w:szCs w:val="28"/>
        </w:rPr>
        <w:t xml:space="preserve">На первом этапе </w:t>
      </w:r>
      <w:r>
        <w:rPr>
          <w:rFonts w:ascii="Times New Roman" w:hAnsi="Times New Roman" w:cs="Times New Roman"/>
          <w:sz w:val="28"/>
          <w:szCs w:val="28"/>
        </w:rPr>
        <w:t>исследуем целевые признаки:</w:t>
      </w:r>
    </w:p>
    <w:p w14:paraId="496BB689" w14:textId="45199263" w:rsidR="00996AA4" w:rsidRPr="00996AA4" w:rsidRDefault="00996AA4" w:rsidP="0029109F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96AA4">
        <w:rPr>
          <w:rFonts w:ascii="Times New Roman" w:hAnsi="Times New Roman" w:cs="Times New Roman"/>
          <w:sz w:val="28"/>
          <w:szCs w:val="28"/>
        </w:rPr>
        <w:t>нализ пропусков в данных;</w:t>
      </w:r>
    </w:p>
    <w:p w14:paraId="44466EE6" w14:textId="1D490595" w:rsidR="00996AA4" w:rsidRPr="00996AA4" w:rsidRDefault="00996AA4" w:rsidP="0029109F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96AA4">
        <w:rPr>
          <w:rFonts w:ascii="Times New Roman" w:hAnsi="Times New Roman" w:cs="Times New Roman"/>
          <w:sz w:val="28"/>
          <w:szCs w:val="28"/>
        </w:rPr>
        <w:t xml:space="preserve">амена пропусков в </w:t>
      </w:r>
      <w:proofErr w:type="spellStart"/>
      <w:r w:rsidRPr="00996AA4">
        <w:rPr>
          <w:rFonts w:ascii="Times New Roman" w:hAnsi="Times New Roman" w:cs="Times New Roman"/>
          <w:sz w:val="28"/>
          <w:szCs w:val="28"/>
        </w:rPr>
        <w:t>даных</w:t>
      </w:r>
      <w:proofErr w:type="spellEnd"/>
      <w:r w:rsidRPr="00996AA4">
        <w:rPr>
          <w:rFonts w:ascii="Times New Roman" w:hAnsi="Times New Roman" w:cs="Times New Roman"/>
          <w:sz w:val="28"/>
          <w:szCs w:val="28"/>
        </w:rPr>
        <w:t xml:space="preserve"> на нули;</w:t>
      </w:r>
    </w:p>
    <w:p w14:paraId="25773302" w14:textId="1998F7FA" w:rsidR="00996AA4" w:rsidRDefault="00996AA4" w:rsidP="0029109F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96AA4">
        <w:rPr>
          <w:rFonts w:ascii="Times New Roman" w:hAnsi="Times New Roman" w:cs="Times New Roman"/>
          <w:sz w:val="28"/>
          <w:szCs w:val="28"/>
        </w:rPr>
        <w:t>даление строк с пропусками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96AA4">
        <w:rPr>
          <w:rFonts w:ascii="Times New Roman" w:hAnsi="Times New Roman" w:cs="Times New Roman"/>
          <w:sz w:val="28"/>
          <w:szCs w:val="28"/>
        </w:rPr>
        <w:t xml:space="preserve"> отри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996AA4">
        <w:rPr>
          <w:rFonts w:ascii="Times New Roman" w:hAnsi="Times New Roman" w:cs="Times New Roman"/>
          <w:sz w:val="28"/>
          <w:szCs w:val="28"/>
        </w:rPr>
        <w:t>ательными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или нулями</w:t>
      </w:r>
      <w:r w:rsidRPr="00996AA4">
        <w:rPr>
          <w:rFonts w:ascii="Times New Roman" w:hAnsi="Times New Roman" w:cs="Times New Roman"/>
          <w:sz w:val="28"/>
          <w:szCs w:val="28"/>
        </w:rPr>
        <w:t xml:space="preserve"> в целевых переменных.</w:t>
      </w:r>
    </w:p>
    <w:p w14:paraId="42554000" w14:textId="1EBC8306" w:rsidR="00996AA4" w:rsidRPr="0029109F" w:rsidRDefault="00996AA4" w:rsidP="0029109F">
      <w:pPr>
        <w:pStyle w:val="a7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09F">
        <w:rPr>
          <w:rFonts w:ascii="Times New Roman" w:hAnsi="Times New Roman" w:cs="Times New Roman"/>
          <w:b/>
          <w:bCs/>
          <w:sz w:val="28"/>
          <w:szCs w:val="28"/>
        </w:rPr>
        <w:t>Обработка данных:</w:t>
      </w:r>
    </w:p>
    <w:p w14:paraId="1D756417" w14:textId="0D5A732B" w:rsidR="0029109F" w:rsidRDefault="0029109F" w:rsidP="0029109F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09F">
        <w:rPr>
          <w:rFonts w:ascii="Times New Roman" w:hAnsi="Times New Roman" w:cs="Times New Roman"/>
          <w:sz w:val="28"/>
          <w:szCs w:val="28"/>
        </w:rPr>
        <w:t>з</w:t>
      </w:r>
      <w:r w:rsidRPr="00996AA4">
        <w:rPr>
          <w:rFonts w:ascii="Times New Roman" w:hAnsi="Times New Roman" w:cs="Times New Roman"/>
          <w:sz w:val="28"/>
          <w:szCs w:val="28"/>
        </w:rPr>
        <w:t>амена пропусков в 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96AA4">
        <w:rPr>
          <w:rFonts w:ascii="Times New Roman" w:hAnsi="Times New Roman" w:cs="Times New Roman"/>
          <w:sz w:val="28"/>
          <w:szCs w:val="28"/>
        </w:rPr>
        <w:t>ных на нули;</w:t>
      </w:r>
    </w:p>
    <w:p w14:paraId="35C6EBC8" w14:textId="1A1538D2" w:rsidR="0029109F" w:rsidRDefault="0029109F" w:rsidP="0029109F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9109F">
        <w:rPr>
          <w:rFonts w:ascii="Times New Roman" w:hAnsi="Times New Roman" w:cs="Times New Roman"/>
          <w:sz w:val="28"/>
          <w:szCs w:val="28"/>
        </w:rPr>
        <w:t xml:space="preserve">инарная трансформация столбцов, где пропусков в </w:t>
      </w:r>
      <w:proofErr w:type="gramStart"/>
      <w:r w:rsidRPr="0029109F">
        <w:rPr>
          <w:rFonts w:ascii="Times New Roman" w:hAnsi="Times New Roman" w:cs="Times New Roman"/>
          <w:sz w:val="28"/>
          <w:szCs w:val="28"/>
        </w:rPr>
        <w:t>данных &gt;</w:t>
      </w:r>
      <w:proofErr w:type="gramEnd"/>
      <w:r w:rsidRPr="0029109F">
        <w:rPr>
          <w:rFonts w:ascii="Times New Roman" w:hAnsi="Times New Roman" w:cs="Times New Roman"/>
          <w:sz w:val="28"/>
          <w:szCs w:val="28"/>
        </w:rPr>
        <w:t xml:space="preserve"> 75%</w:t>
      </w:r>
      <w:r>
        <w:rPr>
          <w:rFonts w:ascii="Times New Roman" w:hAnsi="Times New Roman" w:cs="Times New Roman"/>
          <w:sz w:val="28"/>
          <w:szCs w:val="28"/>
        </w:rPr>
        <w:t xml:space="preserve"> – б</w:t>
      </w:r>
      <w:r w:rsidRPr="0029109F">
        <w:rPr>
          <w:rFonts w:ascii="Times New Roman" w:hAnsi="Times New Roman" w:cs="Times New Roman"/>
          <w:sz w:val="28"/>
          <w:szCs w:val="28"/>
        </w:rPr>
        <w:t>инарная трансформация полезна для столбцов с высокой долей пропусков (или заменённых нулями значениями), потому что она позволяет явно выделить наличие или отсутствие исходных данных. Если более 75% значений в столбце отсутствуют, преобразование такого столбца в бинарный (например, 1 — признак был заполнен, 0 — был пропуск/ноль) помогает модели лучше различать важные структурные особенности данных и уменьшить влияние шума, вызванного массовыми пропусками. Такой подход также может улучшить качество предсказаний моделей, поскольку они будут оперировать более информативным признаком, отражающим сам факт пропуска информации, а не случайное или подменное значение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253FC2" w14:textId="30E1E6B3" w:rsidR="0029109F" w:rsidRDefault="0029109F" w:rsidP="0029109F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29109F">
        <w:rPr>
          <w:rFonts w:ascii="Times New Roman" w:hAnsi="Times New Roman" w:cs="Times New Roman"/>
          <w:sz w:val="28"/>
          <w:szCs w:val="28"/>
        </w:rPr>
        <w:t>аполнение пропусков в данных медианой</w:t>
      </w:r>
      <w:r>
        <w:rPr>
          <w:rFonts w:ascii="Times New Roman" w:hAnsi="Times New Roman" w:cs="Times New Roman"/>
          <w:sz w:val="28"/>
          <w:szCs w:val="28"/>
        </w:rPr>
        <w:t xml:space="preserve"> – з</w:t>
      </w:r>
      <w:r w:rsidRPr="0029109F">
        <w:rPr>
          <w:rFonts w:ascii="Times New Roman" w:hAnsi="Times New Roman" w:cs="Times New Roman"/>
          <w:sz w:val="28"/>
          <w:szCs w:val="28"/>
        </w:rPr>
        <w:t>амена пропусков в данных полезна при анализе датасета, потому что позволяет сохранить максимальное количество информации, не теряя значимых наблюдений из-за отсутствующих значений. Такой подход помогает предотвратить снижение объёма выборки и потенциальное искажение результатов, как это бывает при удалении строк с пропусками. Замена может быть предпочтительной, потому что корректно проведённый процесс замены поддерживает целостность и корректность анализа, снижая влияние пропусков на итоговые выводы и повышая устойчивость моделей машинного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597C93" w14:textId="06FE6720" w:rsidR="0029109F" w:rsidRDefault="0029109F" w:rsidP="0029109F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29109F">
        <w:rPr>
          <w:rFonts w:ascii="Times New Roman" w:hAnsi="Times New Roman" w:cs="Times New Roman"/>
          <w:sz w:val="28"/>
          <w:szCs w:val="28"/>
        </w:rPr>
        <w:t>огарифмирование данных</w:t>
      </w:r>
      <w:r>
        <w:rPr>
          <w:rFonts w:ascii="Times New Roman" w:hAnsi="Times New Roman" w:cs="Times New Roman"/>
          <w:sz w:val="28"/>
          <w:szCs w:val="28"/>
        </w:rPr>
        <w:t xml:space="preserve"> – л</w:t>
      </w:r>
      <w:r w:rsidRPr="0029109F">
        <w:rPr>
          <w:rFonts w:ascii="Times New Roman" w:hAnsi="Times New Roman" w:cs="Times New Roman"/>
          <w:sz w:val="28"/>
          <w:szCs w:val="28"/>
        </w:rPr>
        <w:t>огарифмирование данных в датасете полезно тем, что позволяет уменьшить влияние выбросов, нормализовать распределение и сделать его ближе к нормальному, а также улучшить масштабируемость признаков, что положительно сказывается на работе многих статистических моделей и алгоритмов машинного обучения. Однако логарифмическая функция определена только для положительных значений, поэтому важно отбросить или обработать отрицательные значения в данных заранее, чтобы избежать ошибок и некорректных результатов при трансформации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320B29" w14:textId="38D1DCDF" w:rsidR="0029109F" w:rsidRPr="009873AA" w:rsidRDefault="0029109F" w:rsidP="0029109F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логарифмирование с сохранением знака – д</w:t>
      </w:r>
      <w:r w:rsidRPr="0029109F">
        <w:rPr>
          <w:rFonts w:ascii="Times New Roman" w:hAnsi="Times New Roman" w:cs="Times New Roman"/>
          <w:sz w:val="28"/>
          <w:szCs w:val="28"/>
        </w:rPr>
        <w:t>ля данных, содержащих отрицательные значения, стандартное логарифмирование невозможно, поскольку логарифм определён только для положительных чисел. Однако можно воспользоваться логарифмом с сохранением знака, чтобы обойти это ограничение. На выходе мы получим более нормализованное распределение, но с сохранением знака.</w:t>
      </w:r>
    </w:p>
    <w:p w14:paraId="5F7F2C17" w14:textId="1071D740" w:rsidR="009873AA" w:rsidRDefault="009873AA" w:rsidP="009873AA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2855E5" w14:textId="467A92ED" w:rsidR="0029109F" w:rsidRPr="0029109F" w:rsidRDefault="0029109F" w:rsidP="0029109F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0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Исследование датасета</w:t>
      </w:r>
    </w:p>
    <w:p w14:paraId="4DFE586B" w14:textId="5E7449BF" w:rsidR="0029109F" w:rsidRPr="009873AA" w:rsidRDefault="0029109F" w:rsidP="0029109F">
      <w:pPr>
        <w:pStyle w:val="a7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3AA">
        <w:rPr>
          <w:rFonts w:ascii="Times New Roman" w:hAnsi="Times New Roman" w:cs="Times New Roman"/>
          <w:b/>
          <w:bCs/>
          <w:sz w:val="28"/>
          <w:szCs w:val="28"/>
        </w:rPr>
        <w:t>Изучение распределения целевых переменных</w:t>
      </w:r>
    </w:p>
    <w:p w14:paraId="1AF5ACC1" w14:textId="00F5C97F" w:rsidR="0029109F" w:rsidRDefault="0029109F" w:rsidP="0029109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показано распределение целевых переменных до и после логарифмирования.</w:t>
      </w:r>
    </w:p>
    <w:p w14:paraId="57A22628" w14:textId="1FA61D6F" w:rsidR="0029109F" w:rsidRDefault="0029109F" w:rsidP="0029109F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0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D02E3" wp14:editId="720A5054">
            <wp:simplePos x="0" y="0"/>
            <wp:positionH relativeFrom="column">
              <wp:posOffset>3337</wp:posOffset>
            </wp:positionH>
            <wp:positionV relativeFrom="paragraph">
              <wp:posOffset>2924</wp:posOffset>
            </wp:positionV>
            <wp:extent cx="6120130" cy="3354070"/>
            <wp:effectExtent l="0" t="0" r="0" b="0"/>
            <wp:wrapTopAndBottom/>
            <wp:docPr id="76367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48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Распределения целевых показателей</w:t>
      </w:r>
    </w:p>
    <w:p w14:paraId="1318BDC5" w14:textId="55C1DC65" w:rsidR="0029109F" w:rsidRPr="0029109F" w:rsidRDefault="0029109F" w:rsidP="0029109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09F">
        <w:rPr>
          <w:rFonts w:ascii="Times New Roman" w:hAnsi="Times New Roman" w:cs="Times New Roman"/>
          <w:sz w:val="28"/>
          <w:szCs w:val="28"/>
        </w:rPr>
        <w:t>Как видно из представленного выше изображения, исходные данные демонстрируют значительные искажения, причем значительная часть значений сосредоточена вблизи нуля. У переменной "SI" настолько большой правый хвост, что пришлось его искус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9109F">
        <w:rPr>
          <w:rFonts w:ascii="Times New Roman" w:hAnsi="Times New Roman" w:cs="Times New Roman"/>
          <w:sz w:val="28"/>
          <w:szCs w:val="28"/>
        </w:rPr>
        <w:t>твенно ограничивать, т.к. тот "ломал" график и последний становился неинформативным. Для улучшения наглядности график распределения "SI" будет представлен отдельно ниже.</w:t>
      </w:r>
    </w:p>
    <w:p w14:paraId="607E853A" w14:textId="1B3E9A48" w:rsidR="0029109F" w:rsidRDefault="0029109F" w:rsidP="0029109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09F">
        <w:rPr>
          <w:rFonts w:ascii="Times New Roman" w:hAnsi="Times New Roman" w:cs="Times New Roman"/>
          <w:sz w:val="28"/>
          <w:szCs w:val="28"/>
        </w:rPr>
        <w:t>Логарифмирование целевых переменных способствовало улучшению симметрии распределения и его приближению к нормальному. В дальнейшем, в процессе обучения моделей, мы будем опираться на логарифмированные целевые переменные, так как большинство моделей демонстрируют свои худшие</w:t>
      </w:r>
      <w:r w:rsidR="009873AA" w:rsidRPr="009873AA">
        <w:rPr>
          <w:rFonts w:ascii="Times New Roman" w:hAnsi="Times New Roman" w:cs="Times New Roman"/>
          <w:sz w:val="28"/>
          <w:szCs w:val="28"/>
        </w:rPr>
        <w:t xml:space="preserve"> </w:t>
      </w:r>
      <w:r w:rsidR="009873AA">
        <w:rPr>
          <w:rFonts w:ascii="Times New Roman" w:hAnsi="Times New Roman" w:cs="Times New Roman"/>
          <w:sz w:val="28"/>
          <w:szCs w:val="28"/>
        </w:rPr>
        <w:t>р</w:t>
      </w:r>
      <w:r w:rsidRPr="0029109F">
        <w:rPr>
          <w:rFonts w:ascii="Times New Roman" w:hAnsi="Times New Roman" w:cs="Times New Roman"/>
          <w:sz w:val="28"/>
          <w:szCs w:val="28"/>
        </w:rPr>
        <w:t>езультаты при работе с данными, обладающими выраженной асимметрией.</w:t>
      </w:r>
      <w:r w:rsidR="009873AA" w:rsidRPr="00987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2 показано распределение параметра «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887C0FB" w14:textId="77777777" w:rsidR="009873AA" w:rsidRDefault="009873AA" w:rsidP="009873AA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36517A6" w14:textId="77777777" w:rsidR="009873AA" w:rsidRDefault="009873AA" w:rsidP="009873AA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8E53FA" w14:textId="0B3D945E" w:rsidR="009873AA" w:rsidRPr="009873AA" w:rsidRDefault="009873AA" w:rsidP="009873AA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73A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AD953B8" wp14:editId="244A39AD">
            <wp:simplePos x="0" y="0"/>
            <wp:positionH relativeFrom="page">
              <wp:align>center</wp:align>
            </wp:positionH>
            <wp:positionV relativeFrom="paragraph">
              <wp:posOffset>59</wp:posOffset>
            </wp:positionV>
            <wp:extent cx="5305425" cy="1675765"/>
            <wp:effectExtent l="0" t="0" r="9525" b="635"/>
            <wp:wrapTopAndBottom/>
            <wp:docPr id="451054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549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 – Распределение параметра «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AACF66D" w14:textId="3B85B9A8" w:rsidR="009873AA" w:rsidRDefault="009873AA" w:rsidP="009873AA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73AA">
        <w:rPr>
          <w:rFonts w:ascii="Times New Roman" w:hAnsi="Times New Roman" w:cs="Times New Roman"/>
          <w:sz w:val="28"/>
          <w:szCs w:val="28"/>
        </w:rPr>
        <w:t>Как видно, "SI" имеет длинный "хвост". При этом, практически все значения находятся в диапазоне от 0 до 1000.</w:t>
      </w:r>
    </w:p>
    <w:p w14:paraId="0D4DABDD" w14:textId="1B146A28" w:rsidR="009873AA" w:rsidRPr="00E14332" w:rsidRDefault="009873AA" w:rsidP="00E14332">
      <w:pPr>
        <w:pStyle w:val="a7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32">
        <w:rPr>
          <w:rFonts w:ascii="Times New Roman" w:hAnsi="Times New Roman" w:cs="Times New Roman"/>
          <w:b/>
          <w:bCs/>
          <w:sz w:val="28"/>
          <w:szCs w:val="28"/>
        </w:rPr>
        <w:t>Исследование корреляций</w:t>
      </w:r>
    </w:p>
    <w:p w14:paraId="20726AED" w14:textId="4838B411" w:rsidR="009873AA" w:rsidRDefault="009873AA" w:rsidP="00793FD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3AA">
        <w:rPr>
          <w:rFonts w:ascii="Times New Roman" w:hAnsi="Times New Roman" w:cs="Times New Roman"/>
          <w:sz w:val="28"/>
          <w:szCs w:val="28"/>
        </w:rPr>
        <w:t xml:space="preserve">На следующем этапе </w:t>
      </w:r>
      <w:r>
        <w:rPr>
          <w:rFonts w:ascii="Times New Roman" w:hAnsi="Times New Roman" w:cs="Times New Roman"/>
          <w:sz w:val="28"/>
          <w:szCs w:val="28"/>
        </w:rPr>
        <w:t>необходимо провести</w:t>
      </w:r>
      <w:r w:rsidRPr="009873AA">
        <w:rPr>
          <w:rFonts w:ascii="Times New Roman" w:hAnsi="Times New Roman" w:cs="Times New Roman"/>
          <w:sz w:val="28"/>
          <w:szCs w:val="28"/>
        </w:rPr>
        <w:t xml:space="preserve"> исследование взаимосвязей между признаками с целью выявления тех, которые оказывают наибольшее влияние на анализируемый параметр. Для этого в библиотеке </w:t>
      </w:r>
      <w:proofErr w:type="spellStart"/>
      <w:r w:rsidRPr="009873A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873AA">
        <w:rPr>
          <w:rFonts w:ascii="Times New Roman" w:hAnsi="Times New Roman" w:cs="Times New Roman"/>
          <w:sz w:val="28"/>
          <w:szCs w:val="28"/>
        </w:rPr>
        <w:t xml:space="preserve"> будет использован встроенный метод </w:t>
      </w:r>
      <w:proofErr w:type="spellStart"/>
      <w:proofErr w:type="gramStart"/>
      <w:r w:rsidRPr="009873AA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9873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3AA">
        <w:rPr>
          <w:rFonts w:ascii="Times New Roman" w:hAnsi="Times New Roman" w:cs="Times New Roman"/>
          <w:sz w:val="28"/>
          <w:szCs w:val="28"/>
        </w:rPr>
        <w:t xml:space="preserve">), который позволяет рассчитывать коэффициенты корреляции между парами переменных. Исходя из полученных значений,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9873AA">
        <w:rPr>
          <w:rFonts w:ascii="Times New Roman" w:hAnsi="Times New Roman" w:cs="Times New Roman"/>
          <w:sz w:val="28"/>
          <w:szCs w:val="28"/>
        </w:rPr>
        <w:t xml:space="preserve"> отобрать параметры с наибольшими по абсолютной величине корреляциями. Для лучшего восприятия результаты будут визуализированы.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2D31D" w14:textId="068A17B7" w:rsidR="009873AA" w:rsidRDefault="00793FDE" w:rsidP="00793FDE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3FDE">
        <w:rPr>
          <w:rFonts w:ascii="Times New Roman" w:hAnsi="Times New Roman" w:cs="Times New Roman"/>
          <w:sz w:val="28"/>
          <w:szCs w:val="28"/>
        </w:rPr>
        <w:t>В качестве примера представлены графики частот для наиболее коррелирующих параметров с "SI log10" на рисунке 3.</w:t>
      </w:r>
    </w:p>
    <w:p w14:paraId="2DB2F1BB" w14:textId="654B01FD" w:rsidR="00793FDE" w:rsidRDefault="00793FDE" w:rsidP="00793FDE">
      <w:pPr>
        <w:tabs>
          <w:tab w:val="left" w:pos="1134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</w:t>
      </w:r>
    </w:p>
    <w:p w14:paraId="24760B05" w14:textId="43CA902B" w:rsidR="00793FDE" w:rsidRDefault="00793FDE" w:rsidP="00793FDE">
      <w:pPr>
        <w:pStyle w:val="a7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FDE">
        <w:rPr>
          <w:rFonts w:ascii="Times New Roman" w:hAnsi="Times New Roman" w:cs="Times New Roman"/>
          <w:sz w:val="28"/>
          <w:szCs w:val="28"/>
        </w:rPr>
        <w:t>коэффициенты корреляции целевых переменных до логарифмирования оказываются выше, чем после него.</w:t>
      </w:r>
      <w:r>
        <w:rPr>
          <w:rFonts w:ascii="Times New Roman" w:hAnsi="Times New Roman" w:cs="Times New Roman"/>
          <w:sz w:val="28"/>
          <w:szCs w:val="28"/>
        </w:rPr>
        <w:t xml:space="preserve"> Вероятно, это </w:t>
      </w:r>
      <w:r w:rsidRPr="00793FDE">
        <w:rPr>
          <w:rFonts w:ascii="Times New Roman" w:hAnsi="Times New Roman" w:cs="Times New Roman"/>
          <w:sz w:val="28"/>
          <w:szCs w:val="28"/>
        </w:rPr>
        <w:t>связано с тем, что после логарифмирования снизилась роль выбросов, которые "тянули" ковариацию вверх, т.к. логарифм стремится уменьшить влияние крупных значений и выбросов, выравнивая распределение по масштабу.</w:t>
      </w:r>
      <w:r w:rsidRPr="00793FDE">
        <w:rPr>
          <w:rFonts w:ascii="Times New Roman" w:hAnsi="Times New Roman" w:cs="Times New Roman"/>
          <w:sz w:val="28"/>
          <w:szCs w:val="28"/>
        </w:rPr>
        <w:br/>
        <w:t>Также коэффициент корреляции показывает только линейную связь. При логарифмировании меняется характер связи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7028A2" w14:textId="3DD8F516" w:rsidR="00793FDE" w:rsidRPr="00793FDE" w:rsidRDefault="00793FDE" w:rsidP="00793FDE">
      <w:pPr>
        <w:pStyle w:val="a7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логарифмирования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многих показателей </w:t>
      </w:r>
      <w:r w:rsidR="00E14332">
        <w:rPr>
          <w:rFonts w:ascii="Times New Roman" w:hAnsi="Times New Roman" w:cs="Times New Roman"/>
          <w:sz w:val="28"/>
          <w:szCs w:val="28"/>
        </w:rPr>
        <w:t>стало ближе к нормальному.</w:t>
      </w:r>
    </w:p>
    <w:p w14:paraId="6E276762" w14:textId="1225BFED" w:rsidR="00793FDE" w:rsidRDefault="00793FDE" w:rsidP="00793FDE">
      <w:pPr>
        <w:tabs>
          <w:tab w:val="left" w:pos="1134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C4C0CB9" wp14:editId="0D01E038">
            <wp:simplePos x="0" y="0"/>
            <wp:positionH relativeFrom="margin">
              <wp:align>center</wp:align>
            </wp:positionH>
            <wp:positionV relativeFrom="paragraph">
              <wp:posOffset>-44</wp:posOffset>
            </wp:positionV>
            <wp:extent cx="6496197" cy="4854980"/>
            <wp:effectExtent l="0" t="0" r="0" b="3175"/>
            <wp:wrapTopAndBottom/>
            <wp:docPr id="143454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5" t="9513" r="7664" b="7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197" cy="48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 – Г</w:t>
      </w:r>
      <w:r w:rsidRPr="00793FDE">
        <w:rPr>
          <w:rFonts w:ascii="Times New Roman" w:hAnsi="Times New Roman" w:cs="Times New Roman"/>
          <w:sz w:val="28"/>
          <w:szCs w:val="28"/>
        </w:rPr>
        <w:t>рафики частот для наиболее коррелирующих параметров с "SI log10"</w:t>
      </w:r>
    </w:p>
    <w:p w14:paraId="5B6B85E7" w14:textId="07360675" w:rsidR="00E14332" w:rsidRPr="00E14332" w:rsidRDefault="00E14332" w:rsidP="00E14332">
      <w:pPr>
        <w:pStyle w:val="a7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32">
        <w:rPr>
          <w:rFonts w:ascii="Times New Roman" w:hAnsi="Times New Roman" w:cs="Times New Roman"/>
          <w:b/>
          <w:bCs/>
          <w:sz w:val="28"/>
          <w:szCs w:val="28"/>
        </w:rPr>
        <w:t>Очистка от признаков с наименьшей корреляцией и сохранени</w:t>
      </w:r>
      <w:r w:rsidRPr="00E14332">
        <w:rPr>
          <w:rFonts w:ascii="Times New Roman" w:hAnsi="Times New Roman" w:cs="Times New Roman"/>
          <w:b/>
          <w:bCs/>
          <w:sz w:val="28"/>
          <w:szCs w:val="28"/>
        </w:rPr>
        <w:t>е датасетов</w:t>
      </w:r>
    </w:p>
    <w:p w14:paraId="4C2473FD" w14:textId="0E04C5E1" w:rsidR="00E14332" w:rsidRDefault="00E14332" w:rsidP="00E14332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32">
        <w:rPr>
          <w:rFonts w:ascii="Times New Roman" w:hAnsi="Times New Roman" w:cs="Times New Roman"/>
          <w:sz w:val="28"/>
          <w:szCs w:val="28"/>
        </w:rPr>
        <w:t>С целью повышения эффективности обучения существующий датасет был разбит на три части и очищен от наименее коррелирующих признаков для каждого целевого признака. Поскольку при обучении моделей использовались прологарифмированные целевые переменные, признаки SI, CC50 и IC50 не учитывались — использовались только SI log10, CC50 log10 и IC50 log10.</w:t>
      </w:r>
    </w:p>
    <w:p w14:paraId="5910E6FD" w14:textId="77777777" w:rsidR="00F70154" w:rsidRDefault="00F70154" w:rsidP="00E14332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F70154" w:rsidSect="0020181A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36911C2D" w14:textId="76185C9E" w:rsidR="00F70154" w:rsidRDefault="00F70154" w:rsidP="00F70154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Обучение моделей. Задачи классификации и регрессии</w:t>
      </w:r>
    </w:p>
    <w:p w14:paraId="58560401" w14:textId="4BCE33B6" w:rsidR="00F70154" w:rsidRPr="00F70154" w:rsidRDefault="00F70154" w:rsidP="00F70154">
      <w:pPr>
        <w:pStyle w:val="a7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154">
        <w:rPr>
          <w:rFonts w:ascii="Times New Roman" w:hAnsi="Times New Roman" w:cs="Times New Roman"/>
          <w:b/>
          <w:bCs/>
          <w:sz w:val="28"/>
          <w:szCs w:val="28"/>
        </w:rPr>
        <w:t>Задачи классификации</w:t>
      </w:r>
    </w:p>
    <w:p w14:paraId="09F30F71" w14:textId="442B67D5" w:rsidR="00F70154" w:rsidRPr="00F70154" w:rsidRDefault="00F70154" w:rsidP="00F70154">
      <w:pPr>
        <w:pStyle w:val="a7"/>
        <w:tabs>
          <w:tab w:val="left" w:pos="1134"/>
        </w:tabs>
        <w:spacing w:after="0" w:line="360" w:lineRule="auto"/>
        <w:ind w:left="0" w:firstLine="792"/>
        <w:jc w:val="both"/>
        <w:rPr>
          <w:rFonts w:ascii="Times New Roman" w:hAnsi="Times New Roman" w:cs="Times New Roman"/>
          <w:sz w:val="28"/>
          <w:szCs w:val="28"/>
        </w:rPr>
      </w:pPr>
      <w:r w:rsidRPr="00F70154">
        <w:rPr>
          <w:rFonts w:ascii="Times New Roman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hAnsi="Times New Roman" w:cs="Times New Roman"/>
          <w:sz w:val="28"/>
          <w:szCs w:val="28"/>
        </w:rPr>
        <w:t xml:space="preserve">целевого признака проводилось отдельно исследование. </w:t>
      </w:r>
      <w:r w:rsidRPr="00F70154">
        <w:rPr>
          <w:rFonts w:ascii="Times New Roman" w:hAnsi="Times New Roman" w:cs="Times New Roman"/>
          <w:sz w:val="28"/>
          <w:szCs w:val="28"/>
        </w:rPr>
        <w:t xml:space="preserve">Для обучения были выбраны четыре модели: логистическая регрессия,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70154">
        <w:rPr>
          <w:rFonts w:ascii="Times New Roman" w:hAnsi="Times New Roman" w:cs="Times New Roman"/>
          <w:sz w:val="28"/>
          <w:szCs w:val="28"/>
        </w:rPr>
        <w:t>ерево решений, случайный лес и гради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70154">
        <w:rPr>
          <w:rFonts w:ascii="Times New Roman" w:hAnsi="Times New Roman" w:cs="Times New Roman"/>
          <w:sz w:val="28"/>
          <w:szCs w:val="28"/>
        </w:rPr>
        <w:t>нтны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70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15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F70154">
        <w:rPr>
          <w:rFonts w:ascii="Times New Roman" w:hAnsi="Times New Roman" w:cs="Times New Roman"/>
          <w:sz w:val="28"/>
          <w:szCs w:val="28"/>
        </w:rPr>
        <w:t>.</w:t>
      </w:r>
    </w:p>
    <w:p w14:paraId="4BBB6628" w14:textId="53682026" w:rsidR="00F70154" w:rsidRPr="00F70154" w:rsidRDefault="00F70154" w:rsidP="00F70154">
      <w:pPr>
        <w:pStyle w:val="a7"/>
        <w:tabs>
          <w:tab w:val="left" w:pos="1134"/>
        </w:tabs>
        <w:spacing w:after="0" w:line="360" w:lineRule="auto"/>
        <w:ind w:left="0" w:firstLine="792"/>
        <w:jc w:val="both"/>
        <w:rPr>
          <w:rFonts w:ascii="Times New Roman" w:hAnsi="Times New Roman" w:cs="Times New Roman"/>
          <w:sz w:val="28"/>
          <w:szCs w:val="28"/>
        </w:rPr>
      </w:pPr>
      <w:r w:rsidRPr="00F70154">
        <w:rPr>
          <w:rFonts w:ascii="Times New Roman" w:hAnsi="Times New Roman" w:cs="Times New Roman"/>
          <w:sz w:val="28"/>
          <w:szCs w:val="28"/>
        </w:rPr>
        <w:t xml:space="preserve">Каждая модель имеет свои преимущества, например логистическая регрессия проста в интерпретации и хорошо работает на линейных данных, что позволяет легко понять влияние отдельных признаков на результат. Дерево решений является интуитивно понятным и наглядным, что делает его удобным для визуализации процессов принятия решений. Случайный лес, в свою очередь, обладает высокой устойчивостью к переобучению благодаря созданию множества деревьев и объединению их результатов, что значительно улучшает точность предсказаний. Градиентный </w:t>
      </w:r>
      <w:proofErr w:type="spellStart"/>
      <w:r w:rsidRPr="00F7015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F70154">
        <w:rPr>
          <w:rFonts w:ascii="Times New Roman" w:hAnsi="Times New Roman" w:cs="Times New Roman"/>
          <w:sz w:val="28"/>
          <w:szCs w:val="28"/>
        </w:rPr>
        <w:t xml:space="preserve">, имея возможность уменьшать ошибку модели, использует комбинацию слабых моделей и может достичь высокой точности на сложных данных, однако требует более тщательной настройки </w:t>
      </w:r>
      <w:proofErr w:type="spellStart"/>
      <w:r w:rsidRPr="00F70154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70154">
        <w:rPr>
          <w:rFonts w:ascii="Times New Roman" w:hAnsi="Times New Roman" w:cs="Times New Roman"/>
          <w:sz w:val="28"/>
          <w:szCs w:val="28"/>
        </w:rPr>
        <w:t>.</w:t>
      </w:r>
    </w:p>
    <w:p w14:paraId="63F86038" w14:textId="700740AC" w:rsidR="00F70154" w:rsidRDefault="00F70154" w:rsidP="00F70154">
      <w:pPr>
        <w:pStyle w:val="a7"/>
        <w:tabs>
          <w:tab w:val="left" w:pos="1134"/>
        </w:tabs>
        <w:spacing w:after="0" w:line="360" w:lineRule="auto"/>
        <w:ind w:left="0" w:firstLine="792"/>
        <w:jc w:val="both"/>
        <w:rPr>
          <w:rFonts w:ascii="Times New Roman" w:hAnsi="Times New Roman" w:cs="Times New Roman"/>
          <w:sz w:val="28"/>
          <w:szCs w:val="28"/>
        </w:rPr>
      </w:pPr>
      <w:r w:rsidRPr="00F70154">
        <w:rPr>
          <w:rFonts w:ascii="Times New Roman" w:hAnsi="Times New Roman" w:cs="Times New Roman"/>
          <w:sz w:val="28"/>
          <w:szCs w:val="28"/>
        </w:rPr>
        <w:t>Каждая из этих моделей была протестирована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154">
        <w:rPr>
          <w:rFonts w:ascii="Times New Roman" w:hAnsi="Times New Roman" w:cs="Times New Roman"/>
          <w:sz w:val="28"/>
          <w:szCs w:val="28"/>
        </w:rPr>
        <w:t>наборе данных, чтобы определить наилучший подход для достижения максимальной производительности в задаче.</w:t>
      </w:r>
    </w:p>
    <w:p w14:paraId="28284C65" w14:textId="10C83A6C" w:rsidR="00F70154" w:rsidRDefault="00F70154" w:rsidP="00F70154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показано исследование на примере признака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70154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05D29C" w14:textId="141CA709" w:rsidR="00F70154" w:rsidRDefault="00F70154" w:rsidP="00F70154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четырех моделей были получены следующие результаты. Они показаны в таблице 1.</w:t>
      </w:r>
    </w:p>
    <w:p w14:paraId="43DB16CB" w14:textId="2525CB94" w:rsidR="000E3E59" w:rsidRPr="000E3E59" w:rsidRDefault="000E3E59" w:rsidP="000E3E59">
      <w:pPr>
        <w:pStyle w:val="a7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Результаты четырех моделей для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0E3E59">
        <w:rPr>
          <w:rFonts w:ascii="Times New Roman" w:hAnsi="Times New Roman" w:cs="Times New Roman"/>
          <w:sz w:val="28"/>
          <w:szCs w:val="28"/>
        </w:rPr>
        <w:t>50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0154" w14:paraId="68BB137A" w14:textId="77777777" w:rsidTr="00F70154">
        <w:tc>
          <w:tcPr>
            <w:tcW w:w="1925" w:type="dxa"/>
            <w:vMerge w:val="restart"/>
            <w:vAlign w:val="center"/>
          </w:tcPr>
          <w:p w14:paraId="771F783B" w14:textId="6C811B16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  <w:tc>
          <w:tcPr>
            <w:tcW w:w="7703" w:type="dxa"/>
            <w:gridSpan w:val="4"/>
            <w:vAlign w:val="center"/>
          </w:tcPr>
          <w:p w14:paraId="148C62E8" w14:textId="613B6952" w:rsidR="00F70154" w:rsidRPr="000E3E59" w:rsidRDefault="00F70154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Модели</w:t>
            </w:r>
          </w:p>
        </w:tc>
      </w:tr>
      <w:tr w:rsidR="00F70154" w14:paraId="452CA7BE" w14:textId="77777777" w:rsidTr="000E3E59">
        <w:tc>
          <w:tcPr>
            <w:tcW w:w="1925" w:type="dxa"/>
            <w:vMerge/>
          </w:tcPr>
          <w:p w14:paraId="6BE72E2C" w14:textId="77777777" w:rsidR="00F70154" w:rsidRPr="000E3E59" w:rsidRDefault="00F70154" w:rsidP="000E3E59">
            <w:pPr>
              <w:pStyle w:val="a7"/>
              <w:tabs>
                <w:tab w:val="left" w:pos="113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14:paraId="1EE33BAF" w14:textId="35D65388" w:rsidR="00F70154" w:rsidRPr="000E3E59" w:rsidRDefault="000E3E59" w:rsidP="000E3E59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Логистическая регрессия</w:t>
            </w:r>
          </w:p>
        </w:tc>
        <w:tc>
          <w:tcPr>
            <w:tcW w:w="1926" w:type="dxa"/>
            <w:vAlign w:val="center"/>
          </w:tcPr>
          <w:p w14:paraId="0E75590E" w14:textId="38EB6776" w:rsidR="00F70154" w:rsidRPr="000E3E59" w:rsidRDefault="000E3E59" w:rsidP="000E3E59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Дерево решений</w:t>
            </w:r>
          </w:p>
        </w:tc>
        <w:tc>
          <w:tcPr>
            <w:tcW w:w="1926" w:type="dxa"/>
            <w:vAlign w:val="center"/>
          </w:tcPr>
          <w:p w14:paraId="46E63591" w14:textId="5C83D89F" w:rsidR="00F70154" w:rsidRPr="000E3E59" w:rsidRDefault="000E3E59" w:rsidP="000E3E59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Случайный лес</w:t>
            </w:r>
          </w:p>
        </w:tc>
        <w:tc>
          <w:tcPr>
            <w:tcW w:w="1926" w:type="dxa"/>
            <w:vAlign w:val="center"/>
          </w:tcPr>
          <w:p w14:paraId="08A1E075" w14:textId="423D893F" w:rsidR="00F70154" w:rsidRPr="000E3E59" w:rsidRDefault="000E3E59" w:rsidP="000E3E59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 xml:space="preserve">Градиентный </w:t>
            </w:r>
            <w:proofErr w:type="spellStart"/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бустинг</w:t>
            </w:r>
            <w:proofErr w:type="spellEnd"/>
          </w:p>
        </w:tc>
      </w:tr>
      <w:tr w:rsidR="00F70154" w14:paraId="235175E6" w14:textId="77777777" w:rsidTr="00F70154">
        <w:tc>
          <w:tcPr>
            <w:tcW w:w="1925" w:type="dxa"/>
            <w:vAlign w:val="center"/>
          </w:tcPr>
          <w:p w14:paraId="5D2C098D" w14:textId="58DBB8F3" w:rsidR="00F70154" w:rsidRPr="000E3E59" w:rsidRDefault="000E3E59" w:rsidP="000E3E59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925" w:type="dxa"/>
            <w:vAlign w:val="center"/>
          </w:tcPr>
          <w:p w14:paraId="7D7744C7" w14:textId="79F461E2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0,7662</w:t>
            </w:r>
          </w:p>
        </w:tc>
        <w:tc>
          <w:tcPr>
            <w:tcW w:w="1926" w:type="dxa"/>
            <w:vAlign w:val="center"/>
          </w:tcPr>
          <w:p w14:paraId="63968F56" w14:textId="1A314260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0,6965</w:t>
            </w:r>
          </w:p>
        </w:tc>
        <w:tc>
          <w:tcPr>
            <w:tcW w:w="1926" w:type="dxa"/>
            <w:vAlign w:val="center"/>
          </w:tcPr>
          <w:p w14:paraId="2205B8A0" w14:textId="02C95947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0,7861</w:t>
            </w:r>
          </w:p>
        </w:tc>
        <w:tc>
          <w:tcPr>
            <w:tcW w:w="1926" w:type="dxa"/>
            <w:vAlign w:val="center"/>
          </w:tcPr>
          <w:p w14:paraId="5088988F" w14:textId="32BEFEA5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0,8060</w:t>
            </w:r>
          </w:p>
        </w:tc>
      </w:tr>
      <w:tr w:rsidR="00F70154" w14:paraId="3BDB8E96" w14:textId="77777777" w:rsidTr="00F70154">
        <w:tc>
          <w:tcPr>
            <w:tcW w:w="1925" w:type="dxa"/>
            <w:vAlign w:val="center"/>
          </w:tcPr>
          <w:p w14:paraId="0724CB21" w14:textId="0DD39237" w:rsidR="00F70154" w:rsidRPr="000E3E59" w:rsidRDefault="000E3E59" w:rsidP="000E3E59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925" w:type="dxa"/>
            <w:vAlign w:val="center"/>
          </w:tcPr>
          <w:p w14:paraId="29916AE9" w14:textId="1D1DBB12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0,8085</w:t>
            </w:r>
          </w:p>
        </w:tc>
        <w:tc>
          <w:tcPr>
            <w:tcW w:w="1926" w:type="dxa"/>
            <w:vAlign w:val="center"/>
          </w:tcPr>
          <w:p w14:paraId="4ABF2FC8" w14:textId="089736FF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0,7340</w:t>
            </w:r>
          </w:p>
        </w:tc>
        <w:tc>
          <w:tcPr>
            <w:tcW w:w="1926" w:type="dxa"/>
            <w:vAlign w:val="center"/>
          </w:tcPr>
          <w:p w14:paraId="2398DBE8" w14:textId="4F4730DC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0,8298</w:t>
            </w:r>
          </w:p>
        </w:tc>
        <w:tc>
          <w:tcPr>
            <w:tcW w:w="1926" w:type="dxa"/>
            <w:vAlign w:val="center"/>
          </w:tcPr>
          <w:p w14:paraId="3A391B5D" w14:textId="33361402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0,8438</w:t>
            </w:r>
          </w:p>
        </w:tc>
      </w:tr>
      <w:tr w:rsidR="00F70154" w14:paraId="51D6AB60" w14:textId="77777777" w:rsidTr="00F70154">
        <w:tc>
          <w:tcPr>
            <w:tcW w:w="1925" w:type="dxa"/>
            <w:vAlign w:val="center"/>
          </w:tcPr>
          <w:p w14:paraId="70F9D520" w14:textId="11AF6124" w:rsidR="00F70154" w:rsidRPr="000E3E59" w:rsidRDefault="000E3E59" w:rsidP="000E3E59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  <w:proofErr w:type="spellEnd"/>
          </w:p>
        </w:tc>
        <w:tc>
          <w:tcPr>
            <w:tcW w:w="1925" w:type="dxa"/>
            <w:vAlign w:val="center"/>
          </w:tcPr>
          <w:p w14:paraId="3B721527" w14:textId="45539314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0,7238</w:t>
            </w:r>
          </w:p>
        </w:tc>
        <w:tc>
          <w:tcPr>
            <w:tcW w:w="1926" w:type="dxa"/>
            <w:vAlign w:val="center"/>
          </w:tcPr>
          <w:p w14:paraId="22A23BA2" w14:textId="69942CAC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0,6571</w:t>
            </w:r>
          </w:p>
        </w:tc>
        <w:tc>
          <w:tcPr>
            <w:tcW w:w="1926" w:type="dxa"/>
            <w:vAlign w:val="center"/>
          </w:tcPr>
          <w:p w14:paraId="44D66DC0" w14:textId="0E864A98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0,7429</w:t>
            </w:r>
          </w:p>
        </w:tc>
        <w:tc>
          <w:tcPr>
            <w:tcW w:w="1926" w:type="dxa"/>
            <w:vAlign w:val="center"/>
          </w:tcPr>
          <w:p w14:paraId="713D258E" w14:textId="14A6910D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0,7714</w:t>
            </w:r>
          </w:p>
        </w:tc>
      </w:tr>
      <w:tr w:rsidR="00F70154" w14:paraId="0E2F7CE0" w14:textId="77777777" w:rsidTr="00F70154">
        <w:tc>
          <w:tcPr>
            <w:tcW w:w="1925" w:type="dxa"/>
            <w:vAlign w:val="center"/>
          </w:tcPr>
          <w:p w14:paraId="106C07A7" w14:textId="65236F3A" w:rsidR="00F70154" w:rsidRPr="000E3E59" w:rsidRDefault="000E3E59" w:rsidP="000E3E59">
            <w:pPr>
              <w:tabs>
                <w:tab w:val="left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3E59">
              <w:rPr>
                <w:rFonts w:ascii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1925" w:type="dxa"/>
            <w:vAlign w:val="center"/>
          </w:tcPr>
          <w:p w14:paraId="1B6E47FE" w14:textId="1EFBDC04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0,7638</w:t>
            </w:r>
          </w:p>
        </w:tc>
        <w:tc>
          <w:tcPr>
            <w:tcW w:w="1926" w:type="dxa"/>
            <w:vAlign w:val="center"/>
          </w:tcPr>
          <w:p w14:paraId="70CCA932" w14:textId="1B1E5C5D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0,6935</w:t>
            </w:r>
          </w:p>
        </w:tc>
        <w:tc>
          <w:tcPr>
            <w:tcW w:w="1926" w:type="dxa"/>
            <w:vAlign w:val="center"/>
          </w:tcPr>
          <w:p w14:paraId="7683DFC4" w14:textId="602D8A72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0,7839</w:t>
            </w:r>
          </w:p>
        </w:tc>
        <w:tc>
          <w:tcPr>
            <w:tcW w:w="1926" w:type="dxa"/>
            <w:vAlign w:val="center"/>
          </w:tcPr>
          <w:p w14:paraId="3C2C651A" w14:textId="14C3A852" w:rsidR="00F70154" w:rsidRPr="000E3E59" w:rsidRDefault="000E3E59" w:rsidP="000E3E59">
            <w:pPr>
              <w:pStyle w:val="a7"/>
              <w:tabs>
                <w:tab w:val="left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0,8060</w:t>
            </w:r>
          </w:p>
        </w:tc>
      </w:tr>
    </w:tbl>
    <w:p w14:paraId="12D289A9" w14:textId="77777777" w:rsidR="00F70154" w:rsidRDefault="00F70154" w:rsidP="00F70154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EBA44" w14:textId="77777777" w:rsidR="000E3E59" w:rsidRPr="000E3E59" w:rsidRDefault="000E3E59" w:rsidP="000E3E59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E59">
        <w:rPr>
          <w:rFonts w:ascii="Times New Roman" w:hAnsi="Times New Roman" w:cs="Times New Roman"/>
          <w:sz w:val="28"/>
          <w:szCs w:val="28"/>
        </w:rPr>
        <w:t xml:space="preserve">Логистическая регрессия показала устойчивое качество: точность и F1-меру чуть выше 0.76. Модель хорошо сбалансирована, имеет высокое значение </w:t>
      </w:r>
      <w:proofErr w:type="spellStart"/>
      <w:r w:rsidRPr="000E3E59">
        <w:rPr>
          <w:rFonts w:ascii="Times New Roman" w:hAnsi="Times New Roman" w:cs="Times New Roman"/>
          <w:sz w:val="28"/>
          <w:szCs w:val="28"/>
        </w:rPr>
        <w:lastRenderedPageBreak/>
        <w:t>precision</w:t>
      </w:r>
      <w:proofErr w:type="spellEnd"/>
      <w:r w:rsidRPr="000E3E59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0E3E59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0E3E59">
        <w:rPr>
          <w:rFonts w:ascii="Times New Roman" w:hAnsi="Times New Roman" w:cs="Times New Roman"/>
          <w:sz w:val="28"/>
          <w:szCs w:val="28"/>
        </w:rPr>
        <w:t xml:space="preserve"> немного ниже, что может указывать на некоторое количество пропущенных положительных примеров.</w:t>
      </w:r>
    </w:p>
    <w:p w14:paraId="3C42CC89" w14:textId="77777777" w:rsidR="000E3E59" w:rsidRPr="000E3E59" w:rsidRDefault="000E3E59" w:rsidP="000E3E59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E59">
        <w:rPr>
          <w:rFonts w:ascii="Times New Roman" w:hAnsi="Times New Roman" w:cs="Times New Roman"/>
          <w:sz w:val="28"/>
          <w:szCs w:val="28"/>
        </w:rPr>
        <w:t>Дерево решений продемонстрировало худшие показатели среди рассмотренных моделей: точность и полнота здесь ниже остальных. Такая модель проще, склонна к переобучению на небольших данных и хуже обобщает информацию.</w:t>
      </w:r>
    </w:p>
    <w:p w14:paraId="3E290D52" w14:textId="77777777" w:rsidR="000E3E59" w:rsidRPr="000E3E59" w:rsidRDefault="000E3E59" w:rsidP="000E3E59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E59">
        <w:rPr>
          <w:rFonts w:ascii="Times New Roman" w:hAnsi="Times New Roman" w:cs="Times New Roman"/>
          <w:sz w:val="28"/>
          <w:szCs w:val="28"/>
        </w:rPr>
        <w:t xml:space="preserve">Случайный лес дал лучшие результаты по сравнению с предыдущими двумя моделями. Эта ансамблевая модель оказалась наиболее сбалансированной после градиентного </w:t>
      </w:r>
      <w:proofErr w:type="spellStart"/>
      <w:r w:rsidRPr="000E3E5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E3E59">
        <w:rPr>
          <w:rFonts w:ascii="Times New Roman" w:hAnsi="Times New Roman" w:cs="Times New Roman"/>
          <w:sz w:val="28"/>
          <w:szCs w:val="28"/>
        </w:rPr>
        <w:t>, улучшила как точность, так и F1-меру.</w:t>
      </w:r>
    </w:p>
    <w:p w14:paraId="7DD70376" w14:textId="77777777" w:rsidR="000E3E59" w:rsidRPr="000E3E59" w:rsidRDefault="000E3E59" w:rsidP="000E3E59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E59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0E3E59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0E3E59">
        <w:rPr>
          <w:rFonts w:ascii="Times New Roman" w:hAnsi="Times New Roman" w:cs="Times New Roman"/>
          <w:sz w:val="28"/>
          <w:szCs w:val="28"/>
        </w:rPr>
        <w:t xml:space="preserve"> стал лидером эксперимента: модель показала наилучшее качество по всем основным метрикам, в том числе по точности и F1-мере. Это говорит о высокой эффективности и умении хорошо выявлять целевой класс на подготовленном датасете.</w:t>
      </w:r>
    </w:p>
    <w:p w14:paraId="7A72C747" w14:textId="47B97A6E" w:rsidR="000E3E59" w:rsidRDefault="000E3E59" w:rsidP="000E3E59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E59">
        <w:rPr>
          <w:rFonts w:ascii="Times New Roman" w:hAnsi="Times New Roman" w:cs="Times New Roman"/>
          <w:sz w:val="28"/>
          <w:szCs w:val="28"/>
        </w:rPr>
        <w:t xml:space="preserve">В целом, по совокупности метрик, градиентный </w:t>
      </w:r>
      <w:proofErr w:type="spellStart"/>
      <w:r w:rsidRPr="000E3E59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0E3E59">
        <w:rPr>
          <w:rFonts w:ascii="Times New Roman" w:hAnsi="Times New Roman" w:cs="Times New Roman"/>
          <w:sz w:val="28"/>
          <w:szCs w:val="28"/>
        </w:rPr>
        <w:t xml:space="preserve"> показал себя лучше остальных моделей.</w:t>
      </w:r>
    </w:p>
    <w:p w14:paraId="758965AC" w14:textId="36B6C63C" w:rsidR="000E3E59" w:rsidRDefault="000E3E59" w:rsidP="000E3E59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E5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92BE52" wp14:editId="1A537865">
            <wp:simplePos x="0" y="0"/>
            <wp:positionH relativeFrom="margin">
              <wp:align>center</wp:align>
            </wp:positionH>
            <wp:positionV relativeFrom="paragraph">
              <wp:posOffset>261930</wp:posOffset>
            </wp:positionV>
            <wp:extent cx="6343015" cy="3412490"/>
            <wp:effectExtent l="0" t="0" r="635" b="0"/>
            <wp:wrapTopAndBottom/>
            <wp:docPr id="98962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70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4 представлено сравнение моделей.</w:t>
      </w:r>
    </w:p>
    <w:p w14:paraId="508F56F4" w14:textId="1585C2E4" w:rsidR="000E3E59" w:rsidRDefault="000E3E59" w:rsidP="000E3E59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Сравнение показателей моделей</w:t>
      </w:r>
    </w:p>
    <w:p w14:paraId="0AD0E2E4" w14:textId="77777777" w:rsid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3BC43" w14:textId="77777777" w:rsid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7B738" w14:textId="0A9D098A" w:rsidR="000E3E59" w:rsidRP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A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0BDBB24F" w14:textId="77777777" w:rsidR="00452A96" w:rsidRP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A96">
        <w:rPr>
          <w:rFonts w:ascii="Times New Roman" w:hAnsi="Times New Roman" w:cs="Times New Roman"/>
          <w:sz w:val="28"/>
          <w:szCs w:val="28"/>
        </w:rPr>
        <w:t xml:space="preserve">В целом, все четыре модели неплохо себя показали. Как видно, логистическая регрессия, случайный лес и градиентный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 xml:space="preserve"> показали себя лучше всего, и их результаты отличаются незначительно. Лидер с небольшим преимуществом — градиентный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>. Дерево решений — явный аутсайдер, хоть и отстает совсем немного.</w:t>
      </w:r>
    </w:p>
    <w:p w14:paraId="06542BF0" w14:textId="77777777" w:rsidR="00452A96" w:rsidRP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A96">
        <w:rPr>
          <w:rFonts w:ascii="Times New Roman" w:hAnsi="Times New Roman" w:cs="Times New Roman"/>
          <w:sz w:val="28"/>
          <w:szCs w:val="28"/>
        </w:rPr>
        <w:t xml:space="preserve">Стоит отметить, что даже простые модели, такие как логистическая регрессия, обеспечивают достаточно высокие значения метрик качества, что указывает на хорошую информативность признаков и адекватный выбор целевого признака. Наилучшее качество на тестовой выборке показал градиентный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 xml:space="preserve">, что ожидаемо, учитывая его способность эффективно справляться с небольшими выборками и сложными взаимосвязями между признаками. Случайный лес выступил немного слабее градиентного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>, но заметно обошёл дерево решений, что подтверждает необходимость использования ансамблевых методов при работе с подобными данными.</w:t>
      </w:r>
    </w:p>
    <w:p w14:paraId="6626423E" w14:textId="34E5B951" w:rsidR="00452A96" w:rsidRP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A96">
        <w:rPr>
          <w:rFonts w:ascii="Times New Roman" w:hAnsi="Times New Roman" w:cs="Times New Roman"/>
          <w:sz w:val="28"/>
          <w:szCs w:val="28"/>
        </w:rPr>
        <w:t xml:space="preserve">В заключение, градиентный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 xml:space="preserve"> и случайный лес показали наиболее стабильные и высокие результаты на имеющемся датасете.</w:t>
      </w:r>
    </w:p>
    <w:p w14:paraId="2D67B135" w14:textId="138099F2" w:rsidR="00452A96" w:rsidRPr="00452A96" w:rsidRDefault="00452A96" w:rsidP="00452A96">
      <w:pPr>
        <w:pStyle w:val="a7"/>
        <w:numPr>
          <w:ilvl w:val="1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A96"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b/>
          <w:bCs/>
          <w:sz w:val="28"/>
          <w:szCs w:val="28"/>
        </w:rPr>
        <w:t>регрессии</w:t>
      </w:r>
    </w:p>
    <w:p w14:paraId="1AA670AF" w14:textId="70774104" w:rsid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154">
        <w:rPr>
          <w:rFonts w:ascii="Times New Roman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hAnsi="Times New Roman" w:cs="Times New Roman"/>
          <w:sz w:val="28"/>
          <w:szCs w:val="28"/>
        </w:rPr>
        <w:t xml:space="preserve">целевого признака </w:t>
      </w:r>
      <w:r>
        <w:rPr>
          <w:rFonts w:ascii="Times New Roman" w:hAnsi="Times New Roman" w:cs="Times New Roman"/>
          <w:sz w:val="28"/>
          <w:szCs w:val="28"/>
        </w:rPr>
        <w:t xml:space="preserve">также как и в задачах классификации </w:t>
      </w:r>
      <w:r>
        <w:rPr>
          <w:rFonts w:ascii="Times New Roman" w:hAnsi="Times New Roman" w:cs="Times New Roman"/>
          <w:sz w:val="28"/>
          <w:szCs w:val="28"/>
        </w:rPr>
        <w:t>проводилось отдельно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исследование. </w:t>
      </w:r>
      <w:r w:rsidRPr="00F70154">
        <w:rPr>
          <w:rFonts w:ascii="Times New Roman" w:hAnsi="Times New Roman" w:cs="Times New Roman"/>
          <w:sz w:val="28"/>
          <w:szCs w:val="28"/>
        </w:rPr>
        <w:t xml:space="preserve">Для обучения были выбраны 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Pr="00F70154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70154">
        <w:rPr>
          <w:rFonts w:ascii="Times New Roman" w:hAnsi="Times New Roman" w:cs="Times New Roman"/>
          <w:sz w:val="28"/>
          <w:szCs w:val="28"/>
        </w:rPr>
        <w:t xml:space="preserve">: </w:t>
      </w:r>
      <w:r w:rsidRPr="00452A96">
        <w:rPr>
          <w:rFonts w:ascii="Times New Roman" w:hAnsi="Times New Roman" w:cs="Times New Roman"/>
          <w:sz w:val="28"/>
          <w:szCs w:val="28"/>
        </w:rPr>
        <w:t>полиномиальн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52A96">
        <w:rPr>
          <w:rFonts w:ascii="Times New Roman" w:hAnsi="Times New Roman" w:cs="Times New Roman"/>
          <w:sz w:val="28"/>
          <w:szCs w:val="28"/>
        </w:rPr>
        <w:t xml:space="preserve"> регресси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452A96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2A96">
        <w:rPr>
          <w:rFonts w:ascii="Times New Roman" w:hAnsi="Times New Roman" w:cs="Times New Roman"/>
          <w:sz w:val="28"/>
          <w:szCs w:val="28"/>
        </w:rPr>
        <w:t>регрессия лесом решений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2A96">
        <w:rPr>
          <w:rFonts w:ascii="Times New Roman" w:hAnsi="Times New Roman" w:cs="Times New Roman"/>
          <w:sz w:val="28"/>
          <w:szCs w:val="28"/>
        </w:rPr>
        <w:t>линейная регрессия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CatBoostRegressor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5D11EA" w14:textId="217C381D" w:rsid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A96">
        <w:rPr>
          <w:rFonts w:ascii="Times New Roman" w:hAnsi="Times New Roman" w:cs="Times New Roman"/>
          <w:b/>
          <w:bCs/>
          <w:sz w:val="28"/>
          <w:szCs w:val="28"/>
        </w:rPr>
        <w:t>CatBoostRegressor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 xml:space="preserve"> чаще всего используется, когда у есть категориальные признаки, которые нужно эффективно обрабатывать. Эта модель прекрасно справляется с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высокоразмерными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 xml:space="preserve"> данными и часто демонстрирует высокую точность, минимизируя вероятность переобучения. К сильным сторонам </w:t>
      </w:r>
      <w:proofErr w:type="spellStart"/>
      <w:r w:rsidRPr="00452A96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 xml:space="preserve"> можно отнести его автоматическую обработку категориальных переменных и высокую скорость обучения, в то время как среди слабых сторон стоит отметить необходимость выбора параметров для достижения оптимального результата и достаточно большие требования к памяти.</w:t>
      </w:r>
    </w:p>
    <w:p w14:paraId="7A26140A" w14:textId="5C6FAA77" w:rsidR="00452A96" w:rsidRP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A96">
        <w:rPr>
          <w:rFonts w:ascii="Times New Roman" w:hAnsi="Times New Roman" w:cs="Times New Roman"/>
          <w:b/>
          <w:bCs/>
          <w:sz w:val="28"/>
          <w:szCs w:val="28"/>
        </w:rPr>
        <w:lastRenderedPageBreak/>
        <w:t>LinearRegression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> применяется в ситуациях, когда данные хорошо поддаются линейному моделированию. Эта модель проста в интерпретации и очень быстрая в обучении. Сильные стороны включают простоту и возможность понимания модели, а среди недостатков – невозможность эффективно работать с нелинейными зависимостями и чувствительность к выбросам.</w:t>
      </w:r>
    </w:p>
    <w:p w14:paraId="21BE2BEC" w14:textId="3810BD79" w:rsid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A96">
        <w:rPr>
          <w:rFonts w:ascii="Times New Roman" w:hAnsi="Times New Roman" w:cs="Times New Roman"/>
          <w:b/>
          <w:bCs/>
          <w:sz w:val="28"/>
          <w:szCs w:val="28"/>
        </w:rPr>
        <w:t>DecisionTreeRegressor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> полезна для работы с непрерывными и категориальными данными и не требует предварительной обработки (например, нормализации). Сильными сторонами данной модели являются легкость в интерпретации, а также способность захватывать сложные, нелинейные зависимости. Однако дерево решения склонно к переобучению, что является его слабой стороной, особенно при недостатке данных.</w:t>
      </w:r>
    </w:p>
    <w:p w14:paraId="390DEAE1" w14:textId="4B40352C" w:rsid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A96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452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2A96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 w:rsidRPr="00452A96">
        <w:rPr>
          <w:rFonts w:ascii="Times New Roman" w:hAnsi="Times New Roman" w:cs="Times New Roman"/>
          <w:sz w:val="28"/>
          <w:szCs w:val="28"/>
        </w:rPr>
        <w:t> часто используется в ситуациях с большим количеством данных, где важна высокая точность. Эта модель помогает уменьшить ошибку за счет последовательного обучения. К сильным сторонам можно отнести гибкость и возможность обрабатывать сложные зависимости в данных. Тем не менее, среди её слабостей – высокая вычислительная сложность и возможность переобучения.</w:t>
      </w:r>
    </w:p>
    <w:p w14:paraId="746884C3" w14:textId="4986F9E6" w:rsidR="00452A96" w:rsidRDefault="00452A96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моделей для целевого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452A96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5.</w:t>
      </w:r>
    </w:p>
    <w:p w14:paraId="6130E0E9" w14:textId="3CEED31B" w:rsidR="000F298C" w:rsidRPr="000F298C" w:rsidRDefault="000F298C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98C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0BFFC493" w14:textId="77777777" w:rsidR="000F298C" w:rsidRPr="000F298C" w:rsidRDefault="000F298C" w:rsidP="000F298C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98C">
        <w:rPr>
          <w:rFonts w:ascii="Times New Roman" w:hAnsi="Times New Roman" w:cs="Times New Roman"/>
          <w:sz w:val="28"/>
          <w:szCs w:val="28"/>
        </w:rPr>
        <w:t>В результате анализа для прогнозирования значения целевой переменной CC50 наилучшие результаты продемонстрировали модели полиномиальной регрессии и регрессия с использованием метода леса решений. Тем не менее, существует вероятность, что успех модели леса решений может быть обусловлен переобучением, так как размер датасета составляет всего 1001 строчку и 349 столбцов, что создает условия для избыточной адаптации модели к обучающим данным.</w:t>
      </w:r>
    </w:p>
    <w:p w14:paraId="6E25008F" w14:textId="3E972700" w:rsidR="000F298C" w:rsidRPr="000F298C" w:rsidRDefault="000F298C" w:rsidP="000F298C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98C">
        <w:rPr>
          <w:rFonts w:ascii="Times New Roman" w:hAnsi="Times New Roman" w:cs="Times New Roman"/>
          <w:sz w:val="28"/>
          <w:szCs w:val="28"/>
        </w:rPr>
        <w:t xml:space="preserve">Полиномиальная регрессия показала такие впечатляющие результаты, вероятно, благодаря </w:t>
      </w:r>
      <w:proofErr w:type="spellStart"/>
      <w:r w:rsidRPr="000F298C">
        <w:rPr>
          <w:rFonts w:ascii="Times New Roman" w:hAnsi="Times New Roman" w:cs="Times New Roman"/>
          <w:sz w:val="28"/>
          <w:szCs w:val="28"/>
        </w:rPr>
        <w:t>логарифмизации</w:t>
      </w:r>
      <w:proofErr w:type="spellEnd"/>
      <w:r w:rsidRPr="000F298C">
        <w:rPr>
          <w:rFonts w:ascii="Times New Roman" w:hAnsi="Times New Roman" w:cs="Times New Roman"/>
          <w:sz w:val="28"/>
          <w:szCs w:val="28"/>
        </w:rPr>
        <w:t xml:space="preserve"> значений целевой переменной, что способствовало улучшению предсказательной способности этой модели. </w:t>
      </w:r>
      <w:r w:rsidRPr="000F298C">
        <w:rPr>
          <w:rFonts w:ascii="Times New Roman" w:hAnsi="Times New Roman" w:cs="Times New Roman"/>
          <w:sz w:val="28"/>
          <w:szCs w:val="28"/>
        </w:rPr>
        <w:lastRenderedPageBreak/>
        <w:t xml:space="preserve">Полиномиальная регрессия представляет собой расширение линейной регрессии, которое позволяет моделировать сложные зависимости между переменными. Основное преимущество полиномиальной регрессии заключается в ее способности эффективно справляться с не линейными отношениями. В отличие от простой линейной модели, которая описывает зависимость в виде прямой линии, </w:t>
      </w:r>
      <w:r w:rsidRPr="000F298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6A07E6B" wp14:editId="78538F36">
            <wp:simplePos x="0" y="0"/>
            <wp:positionH relativeFrom="page">
              <wp:posOffset>606543</wp:posOffset>
            </wp:positionH>
            <wp:positionV relativeFrom="paragraph">
              <wp:posOffset>2360428</wp:posOffset>
            </wp:positionV>
            <wp:extent cx="6685915" cy="4890770"/>
            <wp:effectExtent l="0" t="0" r="635" b="5080"/>
            <wp:wrapTopAndBottom/>
            <wp:docPr id="69630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079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298C">
        <w:rPr>
          <w:rFonts w:ascii="Times New Roman" w:hAnsi="Times New Roman" w:cs="Times New Roman"/>
          <w:sz w:val="28"/>
          <w:szCs w:val="28"/>
        </w:rPr>
        <w:t>полиномиальная регрессия может использовать полиномы для более точного описания кривых и сложных паттернов в данных.</w:t>
      </w:r>
    </w:p>
    <w:p w14:paraId="0498F097" w14:textId="77777777" w:rsidR="000F298C" w:rsidRPr="00452A96" w:rsidRDefault="000F298C" w:rsidP="000F298C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Сравнение моделей</w:t>
      </w:r>
    </w:p>
    <w:p w14:paraId="1C9360E4" w14:textId="47C01180" w:rsidR="000F298C" w:rsidRPr="000F298C" w:rsidRDefault="000F298C" w:rsidP="000F298C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98C">
        <w:rPr>
          <w:rFonts w:ascii="Times New Roman" w:hAnsi="Times New Roman" w:cs="Times New Roman"/>
          <w:sz w:val="28"/>
          <w:szCs w:val="28"/>
        </w:rPr>
        <w:t>Одним из ключевых аспектов является возможность подстраивания под характер данных. Благодаря включению полиномиальных терминов, таких как квадратичные и кубические, модель может лучше соответствовать форме распределения данных. Это особенно полезно, когда изучаемая зависимость имеет завитки или изменяющуюся скорость изменения.</w:t>
      </w:r>
    </w:p>
    <w:p w14:paraId="5CF8D6E1" w14:textId="359D54FB" w:rsidR="000F298C" w:rsidRPr="000F298C" w:rsidRDefault="000F298C" w:rsidP="000F298C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98C">
        <w:rPr>
          <w:rFonts w:ascii="Times New Roman" w:hAnsi="Times New Roman" w:cs="Times New Roman"/>
          <w:sz w:val="28"/>
          <w:szCs w:val="28"/>
        </w:rPr>
        <w:lastRenderedPageBreak/>
        <w:t>В конечном итоге, хотя обе модели продемонстрировали хорошую эффективность, полиномиальная регрессия, похоже, оказалась более устойчивой и предпочтительной в данной задаче.</w:t>
      </w:r>
    </w:p>
    <w:p w14:paraId="0580D149" w14:textId="1DB47D0F" w:rsidR="000F298C" w:rsidRDefault="000F298C" w:rsidP="00452A96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F298C" w:rsidSect="002018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A8C"/>
    <w:multiLevelType w:val="multilevel"/>
    <w:tmpl w:val="EB68A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4E3CC3"/>
    <w:multiLevelType w:val="hybridMultilevel"/>
    <w:tmpl w:val="81A62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D95BA8"/>
    <w:multiLevelType w:val="hybridMultilevel"/>
    <w:tmpl w:val="2A58D5E6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3754B4"/>
    <w:multiLevelType w:val="hybridMultilevel"/>
    <w:tmpl w:val="68424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884"/>
    <w:multiLevelType w:val="hybridMultilevel"/>
    <w:tmpl w:val="105AA548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140E4"/>
    <w:multiLevelType w:val="hybridMultilevel"/>
    <w:tmpl w:val="5E487138"/>
    <w:lvl w:ilvl="0" w:tplc="0A1642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54382"/>
    <w:multiLevelType w:val="hybridMultilevel"/>
    <w:tmpl w:val="40402FD0"/>
    <w:lvl w:ilvl="0" w:tplc="0A164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405E49"/>
    <w:multiLevelType w:val="hybridMultilevel"/>
    <w:tmpl w:val="B1083174"/>
    <w:lvl w:ilvl="0" w:tplc="0A16428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DC92353"/>
    <w:multiLevelType w:val="multilevel"/>
    <w:tmpl w:val="DB96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26641"/>
    <w:multiLevelType w:val="hybridMultilevel"/>
    <w:tmpl w:val="929034C0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FC7281"/>
    <w:multiLevelType w:val="hybridMultilevel"/>
    <w:tmpl w:val="3A1A49CE"/>
    <w:lvl w:ilvl="0" w:tplc="0A164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E61209"/>
    <w:multiLevelType w:val="hybridMultilevel"/>
    <w:tmpl w:val="24FC47D6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931C47"/>
    <w:multiLevelType w:val="hybridMultilevel"/>
    <w:tmpl w:val="253854F2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5F140A"/>
    <w:multiLevelType w:val="hybridMultilevel"/>
    <w:tmpl w:val="1520D7EA"/>
    <w:lvl w:ilvl="0" w:tplc="0A16428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5811923"/>
    <w:multiLevelType w:val="hybridMultilevel"/>
    <w:tmpl w:val="BE0C8C68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FF09FE"/>
    <w:multiLevelType w:val="hybridMultilevel"/>
    <w:tmpl w:val="036C90EE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AC5A53"/>
    <w:multiLevelType w:val="hybridMultilevel"/>
    <w:tmpl w:val="E44A942A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E862DB"/>
    <w:multiLevelType w:val="hybridMultilevel"/>
    <w:tmpl w:val="8F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8F23D1"/>
    <w:multiLevelType w:val="hybridMultilevel"/>
    <w:tmpl w:val="630671E0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BC26BA"/>
    <w:multiLevelType w:val="hybridMultilevel"/>
    <w:tmpl w:val="79E0EF98"/>
    <w:lvl w:ilvl="0" w:tplc="0A164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5689625">
    <w:abstractNumId w:val="3"/>
  </w:num>
  <w:num w:numId="2" w16cid:durableId="772936806">
    <w:abstractNumId w:val="0"/>
  </w:num>
  <w:num w:numId="3" w16cid:durableId="1356808005">
    <w:abstractNumId w:val="17"/>
  </w:num>
  <w:num w:numId="4" w16cid:durableId="389617595">
    <w:abstractNumId w:val="1"/>
  </w:num>
  <w:num w:numId="5" w16cid:durableId="1777291427">
    <w:abstractNumId w:val="19"/>
  </w:num>
  <w:num w:numId="6" w16cid:durableId="470631271">
    <w:abstractNumId w:val="18"/>
  </w:num>
  <w:num w:numId="7" w16cid:durableId="1516917329">
    <w:abstractNumId w:val="11"/>
  </w:num>
  <w:num w:numId="8" w16cid:durableId="1541934866">
    <w:abstractNumId w:val="15"/>
  </w:num>
  <w:num w:numId="9" w16cid:durableId="370807817">
    <w:abstractNumId w:val="14"/>
  </w:num>
  <w:num w:numId="10" w16cid:durableId="1884755016">
    <w:abstractNumId w:val="12"/>
  </w:num>
  <w:num w:numId="11" w16cid:durableId="256522909">
    <w:abstractNumId w:val="16"/>
  </w:num>
  <w:num w:numId="12" w16cid:durableId="644285754">
    <w:abstractNumId w:val="9"/>
  </w:num>
  <w:num w:numId="13" w16cid:durableId="1249922857">
    <w:abstractNumId w:val="4"/>
  </w:num>
  <w:num w:numId="14" w16cid:durableId="83840452">
    <w:abstractNumId w:val="2"/>
  </w:num>
  <w:num w:numId="15" w16cid:durableId="83309002">
    <w:abstractNumId w:val="8"/>
  </w:num>
  <w:num w:numId="16" w16cid:durableId="1422215700">
    <w:abstractNumId w:val="7"/>
  </w:num>
  <w:num w:numId="17" w16cid:durableId="525296703">
    <w:abstractNumId w:val="5"/>
  </w:num>
  <w:num w:numId="18" w16cid:durableId="1899972256">
    <w:abstractNumId w:val="10"/>
  </w:num>
  <w:num w:numId="19" w16cid:durableId="1024481793">
    <w:abstractNumId w:val="6"/>
  </w:num>
  <w:num w:numId="20" w16cid:durableId="21132339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C8"/>
    <w:rsid w:val="000E3E59"/>
    <w:rsid w:val="000F298C"/>
    <w:rsid w:val="0020181A"/>
    <w:rsid w:val="00202166"/>
    <w:rsid w:val="0029109F"/>
    <w:rsid w:val="002A2BC2"/>
    <w:rsid w:val="0037395D"/>
    <w:rsid w:val="00452A96"/>
    <w:rsid w:val="004D35D4"/>
    <w:rsid w:val="00690286"/>
    <w:rsid w:val="006D0B15"/>
    <w:rsid w:val="00793FDE"/>
    <w:rsid w:val="008E52C8"/>
    <w:rsid w:val="009873AA"/>
    <w:rsid w:val="00996AA4"/>
    <w:rsid w:val="00997326"/>
    <w:rsid w:val="00E14332"/>
    <w:rsid w:val="00E432ED"/>
    <w:rsid w:val="00F7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9781"/>
  <w15:chartTrackingRefBased/>
  <w15:docId w15:val="{CE60F0DA-AA92-44E7-A2DC-80F59752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5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E5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E5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2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52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52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52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52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52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5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5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2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52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2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2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52C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70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812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306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333330"/>
                    <w:right w:val="single" w:sz="2" w:space="0" w:color="auto"/>
                  </w:divBdr>
                  <w:divsChild>
                    <w:div w:id="1314988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95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85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45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684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862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17</Pages>
  <Words>3022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Кабанов Алексей</dc:creator>
  <cp:keywords/>
  <dc:description/>
  <cp:lastModifiedBy>Кабанов Алексей</cp:lastModifiedBy>
  <cp:revision>3</cp:revision>
  <dcterms:created xsi:type="dcterms:W3CDTF">2025-07-03T06:14:00Z</dcterms:created>
  <dcterms:modified xsi:type="dcterms:W3CDTF">2025-07-03T08:19:00Z</dcterms:modified>
</cp:coreProperties>
</file>