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未命名文档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你需要的是一份以 </w:t>
      </w:r>
      <w:r>
        <w:rPr>
          <w:rFonts w:eastAsia="等线" w:ascii="Arial" w:cs="Arial" w:hAnsi="Arial"/>
          <w:b w:val="true"/>
          <w:sz w:val="22"/>
        </w:rPr>
        <w:t>RowDye（DOCX文档行级着色工具）</w:t>
      </w:r>
      <w:r>
        <w:rPr>
          <w:rFonts w:eastAsia="等线" w:ascii="Arial" w:cs="Arial" w:hAnsi="Arial"/>
          <w:sz w:val="22"/>
        </w:rPr>
        <w:t xml:space="preserve"> 为核心的项目建议书Word文档内容（含表格），以下是可直接复制到Word中使用的完整内容，包含项目背景、功能规划、成本预估、实施计划等核心模块，表格格式适配Word排版规范：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RowDye - DOCX文档行级着色工具 项目建议书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文档编号</w:t>
      </w:r>
      <w:r>
        <w:rPr>
          <w:rFonts w:eastAsia="等线" w:ascii="Arial" w:cs="Arial" w:hAnsi="Arial"/>
          <w:sz w:val="22"/>
        </w:rPr>
        <w:t>：RD-20260304-PP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版本</w:t>
      </w:r>
      <w:r>
        <w:rPr>
          <w:rFonts w:eastAsia="等线" w:ascii="Arial" w:cs="Arial" w:hAnsi="Arial"/>
          <w:sz w:val="22"/>
        </w:rPr>
        <w:t>：V1.0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编制日期</w:t>
      </w:r>
      <w:r>
        <w:rPr>
          <w:rFonts w:eastAsia="等线" w:ascii="Arial" w:cs="Arial" w:hAnsi="Arial"/>
          <w:sz w:val="22"/>
        </w:rPr>
        <w:t>：2026年03月04日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一、项目背景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日常办公场景中，用户处理DOCX格式文档时，常需对特定行文本进行着色标注（如审核批注、内容分类、重点突出等），但现有Word原生功能仅支持手动逐行着色，效率低且无法批量操作；第三方工具多为全格式兼容型，体积大、操作复杂，且未针对DOCX格式做轻量化优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为此，拟开发 </w:t>
      </w:r>
      <w:r>
        <w:rPr>
          <w:rFonts w:eastAsia="等线" w:ascii="Arial" w:cs="Arial" w:hAnsi="Arial"/>
          <w:b w:val="true"/>
          <w:sz w:val="22"/>
        </w:rPr>
        <w:t>RowDye</w:t>
      </w:r>
      <w:r>
        <w:rPr>
          <w:rFonts w:eastAsia="等线" w:ascii="Arial" w:cs="Arial" w:hAnsi="Arial"/>
          <w:sz w:val="22"/>
        </w:rPr>
        <w:t xml:space="preserve"> 工具——一款仅聚焦DOCX文档行级着色的轻量化工具，核心解决「精准、高效、批量」的DOCX行着色需求，适配办公场景下的高频使用场景。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二、项目核心目标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开发轻量级桌面端工具，仅支持DOCX格式文档的行级着色，无冗余功能；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实现「按行号范围/关键词匹配」批量着色，着色后保留DOCX原生格式（样式、表格、图片等）；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保证工具操作简单，无技术门槛，适配Windows/macOS主流系统；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非破坏性编辑，所有操作不修改原文件，仅导出着色后的新文档。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三、核心功能规划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功能模块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功能描述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技术实现要点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文件解析模块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仅加载DOCX格式文件，校验文件合法性，提取文档行文本及行号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基于python-docx库解析DOCX结构，1-indexed行号匹配Word原生行号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行着色模块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按行号范围（如1-10行）设置文本前景色/背景色；&lt;br&gt;2. 按关键词批量着色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遍历DOCX段落/Run对象，通过RGBColor设置字体颜色/高亮色，支持十六进制色码输入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导出模块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导出着色后的DOCX文件，保留原文件所有格式（样式、表格、嵌入式对象）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基于python-docx的save方法，输出新DOCX文件，原文件只读不修改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界面模块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极简桌面界面：文件选择、行号输入、色码选择、关键词输入、导出路径设置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基于PyQt6开发轻量化界面，无多余弹窗/广告，适配不同分辨率屏幕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预设配色模块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内置3套办公常用配色方案（审核批注/重点突出/内容分类），支持一键应用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预设色码映射表，用户可自定义保存配色方案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四、技术方案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1. 开发环境</w:t>
      </w:r>
      <w:bookmarkEnd w:id="5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开发语言：Python 3.9+（跨平台、轻量化、python-docx库成熟）；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界面框架：PyQt6（轻量级、跨平台、易打包）；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核心依赖：python-docx（DOCX解析/编辑）、pyinstaller（打包为桌面端可执行文件）；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适配系统：Windows 10+/macOS 12+。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 核心流程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[流程图暂不支持下载]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五、成本与周期预估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时间周期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人力成本（人天）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主要工作内容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需求梳理+原型设计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确认功能边界，绘制界面原型，输出技术方案文档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核心功能开发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完成文件解析、行着色、导出模块开发，编写核心逻辑代码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界面开发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开发桌面界面，实现界面与核心逻辑的联动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测试+优化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测试不同DOCX文件（含复杂格式/表格/图片）的着色效果，修复格式兼容问题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打包+交付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打包为Windows/macOS可执行文件，编写用户使用手册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总计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20天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六、预期收益</w:t>
      </w:r>
      <w:bookmarkEnd w:id="8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用户侧</w:t>
      </w:r>
      <w:r>
        <w:rPr>
          <w:rFonts w:eastAsia="等线" w:ascii="Arial" w:cs="Arial" w:hAnsi="Arial"/>
          <w:sz w:val="22"/>
        </w:rPr>
        <w:t>：办公人员处理DOCX行着色的效率提升80%以上，无需手动逐行操作；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工具侧</w:t>
      </w:r>
      <w:r>
        <w:rPr>
          <w:rFonts w:eastAsia="等线" w:ascii="Arial" w:cs="Arial" w:hAnsi="Arial"/>
          <w:sz w:val="22"/>
        </w:rPr>
        <w:t>：轻量化（安装包＜50MB）、无冗余功能，适配高频办公场景，易推广；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维护侧</w:t>
      </w:r>
      <w:r>
        <w:rPr>
          <w:rFonts w:eastAsia="等线" w:ascii="Arial" w:cs="Arial" w:hAnsi="Arial"/>
          <w:sz w:val="22"/>
        </w:rPr>
        <w:t>：仅聚焦DOCX格式，后续维护成本低，无需兼容其他格式的适配问题。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七、风险与应对措施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风险等级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应对措施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复杂DOCX格式着色异常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测试覆盖含表格/文本框/嵌入式图片的DOCX文件，针对特殊结构单独适配着色逻辑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跨系统兼容性问题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分别在Windows/macOS主流版本测试，打包时适配不同系统的依赖库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用户操作门槛（色码输入）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增加颜色选择器（可视化选色），替代纯十六进制色码输入，降低操作门槛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八、项目推进计划</w:t>
      </w:r>
      <w:bookmarkEnd w:id="10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第一阶段（1-3天）：完成需求确认与技术方案定稿；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第二阶段（4-10天）：完成核心功能（解析、着色、导出）开发；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第三阶段（11-15天）：完成界面开发与功能联动；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第四阶段（16-18天）：全场景测试与问题修复；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第五阶段（19-20天）：打包发布+用户手册编写。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九、结论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RowDye工具聚焦「DOCX文档行级着色」单一需求，轻量化、高效率、低维护成本，能精准解决办公场景下的高频痛点，项目周期短、风险低、收益明确，建议立项开发。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适配Word排版的补充说明</w:t>
      </w:r>
      <w:bookmarkEnd w:id="12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上述内容可直接复制到Word中，表格会自动适配Word的表格格式，可根据需要调整列宽/行高；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「核心流程」的Mermaid流程图可截图后插入Word，或替换为Visio绘制的流程图；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可根据实际需求补充「附件（如原型图、技术调研文档）」「审批意见」等模块；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字体/格式建议：标题使用「微软雅黑二号加粗」，正文「微软雅黑小四」，表格文字「微软雅黑五号」，行间距1.5倍。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总结</w:t>
      </w:r>
      <w:bookmarkEnd w:id="13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这份建议书聚焦RowDye的核心定位（仅DOCX行着色），通过表格清晰呈现功能、成本、风险等核心信息，符合项目建议书的规范；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所有内容围绕「轻量化、精准化、DOCX专属」展开，无冗余信息，适配工具类项目的立项场景；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技术方案落地性强，基于成熟的python-docx库，周期/成本预估贴合小型工具开发的实际情况。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991087">
    <w:lvl>
      <w:start w:val="1"/>
      <w:numFmt w:val="decimal"/>
      <w:suff w:val="tab"/>
      <w:lvlText w:val="%1."/>
      <w:rPr>
        <w:color w:val="3370ff"/>
      </w:rPr>
    </w:lvl>
  </w:abstractNum>
  <w:abstractNum w:abstractNumId="9991088">
    <w:lvl>
      <w:start w:val="2"/>
      <w:numFmt w:val="decimal"/>
      <w:suff w:val="tab"/>
      <w:lvlText w:val="%1."/>
      <w:rPr>
        <w:color w:val="3370ff"/>
      </w:rPr>
    </w:lvl>
  </w:abstractNum>
  <w:abstractNum w:abstractNumId="9991089">
    <w:lvl>
      <w:start w:val="3"/>
      <w:numFmt w:val="decimal"/>
      <w:suff w:val="tab"/>
      <w:lvlText w:val="%1."/>
      <w:rPr>
        <w:color w:val="3370ff"/>
      </w:rPr>
    </w:lvl>
  </w:abstractNum>
  <w:abstractNum w:abstractNumId="9991090">
    <w:lvl>
      <w:start w:val="4"/>
      <w:numFmt w:val="decimal"/>
      <w:suff w:val="tab"/>
      <w:lvlText w:val="%1."/>
      <w:rPr>
        <w:color w:val="3370ff"/>
      </w:rPr>
    </w:lvl>
  </w:abstractNum>
  <w:abstractNum w:abstractNumId="9991091">
    <w:lvl>
      <w:numFmt w:val="bullet"/>
      <w:suff w:val="tab"/>
      <w:lvlText w:val="•"/>
      <w:rPr>
        <w:color w:val="3370ff"/>
      </w:rPr>
    </w:lvl>
  </w:abstractNum>
  <w:abstractNum w:abstractNumId="9991092">
    <w:lvl>
      <w:numFmt w:val="bullet"/>
      <w:suff w:val="tab"/>
      <w:lvlText w:val="•"/>
      <w:rPr>
        <w:color w:val="3370ff"/>
      </w:rPr>
    </w:lvl>
  </w:abstractNum>
  <w:abstractNum w:abstractNumId="9991093">
    <w:lvl>
      <w:numFmt w:val="bullet"/>
      <w:suff w:val="tab"/>
      <w:lvlText w:val="•"/>
      <w:rPr>
        <w:color w:val="3370ff"/>
      </w:rPr>
    </w:lvl>
  </w:abstractNum>
  <w:abstractNum w:abstractNumId="9991094">
    <w:lvl>
      <w:numFmt w:val="bullet"/>
      <w:suff w:val="tab"/>
      <w:lvlText w:val="•"/>
      <w:rPr>
        <w:color w:val="3370ff"/>
      </w:rPr>
    </w:lvl>
  </w:abstractNum>
  <w:abstractNum w:abstractNumId="9991095">
    <w:lvl>
      <w:start w:val="1"/>
      <w:numFmt w:val="decimal"/>
      <w:suff w:val="tab"/>
      <w:lvlText w:val="%1."/>
      <w:rPr>
        <w:color w:val="3370ff"/>
      </w:rPr>
    </w:lvl>
  </w:abstractNum>
  <w:abstractNum w:abstractNumId="9991096">
    <w:lvl>
      <w:start w:val="2"/>
      <w:numFmt w:val="decimal"/>
      <w:suff w:val="tab"/>
      <w:lvlText w:val="%1."/>
      <w:rPr>
        <w:color w:val="3370ff"/>
      </w:rPr>
    </w:lvl>
  </w:abstractNum>
  <w:abstractNum w:abstractNumId="9991097">
    <w:lvl>
      <w:start w:val="3"/>
      <w:numFmt w:val="decimal"/>
      <w:suff w:val="tab"/>
      <w:lvlText w:val="%1."/>
      <w:rPr>
        <w:color w:val="3370ff"/>
      </w:rPr>
    </w:lvl>
  </w:abstractNum>
  <w:abstractNum w:abstractNumId="9991098">
    <w:lvl>
      <w:start w:val="1"/>
      <w:numFmt w:val="decimal"/>
      <w:suff w:val="tab"/>
      <w:lvlText w:val="%1."/>
      <w:rPr>
        <w:color w:val="3370ff"/>
      </w:rPr>
    </w:lvl>
  </w:abstractNum>
  <w:abstractNum w:abstractNumId="9991099">
    <w:lvl>
      <w:start w:val="2"/>
      <w:numFmt w:val="decimal"/>
      <w:suff w:val="tab"/>
      <w:lvlText w:val="%1."/>
      <w:rPr>
        <w:color w:val="3370ff"/>
      </w:rPr>
    </w:lvl>
  </w:abstractNum>
  <w:abstractNum w:abstractNumId="9991100">
    <w:lvl>
      <w:start w:val="3"/>
      <w:numFmt w:val="decimal"/>
      <w:suff w:val="tab"/>
      <w:lvlText w:val="%1."/>
      <w:rPr>
        <w:color w:val="3370ff"/>
      </w:rPr>
    </w:lvl>
  </w:abstractNum>
  <w:abstractNum w:abstractNumId="9991101">
    <w:lvl>
      <w:start w:val="4"/>
      <w:numFmt w:val="decimal"/>
      <w:suff w:val="tab"/>
      <w:lvlText w:val="%1."/>
      <w:rPr>
        <w:color w:val="3370ff"/>
      </w:rPr>
    </w:lvl>
  </w:abstractNum>
  <w:abstractNum w:abstractNumId="9991102">
    <w:lvl>
      <w:start w:val="5"/>
      <w:numFmt w:val="decimal"/>
      <w:suff w:val="tab"/>
      <w:lvlText w:val="%1."/>
      <w:rPr>
        <w:color w:val="3370ff"/>
      </w:rPr>
    </w:lvl>
  </w:abstractNum>
  <w:abstractNum w:abstractNumId="9991103">
    <w:lvl>
      <w:start w:val="1"/>
      <w:numFmt w:val="decimal"/>
      <w:suff w:val="tab"/>
      <w:lvlText w:val="%1."/>
      <w:rPr>
        <w:color w:val="3370ff"/>
      </w:rPr>
    </w:lvl>
  </w:abstractNum>
  <w:abstractNum w:abstractNumId="9991104">
    <w:lvl>
      <w:start w:val="2"/>
      <w:numFmt w:val="decimal"/>
      <w:suff w:val="tab"/>
      <w:lvlText w:val="%1."/>
      <w:rPr>
        <w:color w:val="3370ff"/>
      </w:rPr>
    </w:lvl>
  </w:abstractNum>
  <w:abstractNum w:abstractNumId="9991105">
    <w:lvl>
      <w:start w:val="3"/>
      <w:numFmt w:val="decimal"/>
      <w:suff w:val="tab"/>
      <w:lvlText w:val="%1."/>
      <w:rPr>
        <w:color w:val="3370ff"/>
      </w:rPr>
    </w:lvl>
  </w:abstractNum>
  <w:abstractNum w:abstractNumId="9991106">
    <w:lvl>
      <w:start w:val="4"/>
      <w:numFmt w:val="decimal"/>
      <w:suff w:val="tab"/>
      <w:lvlText w:val="%1."/>
      <w:rPr>
        <w:color w:val="3370ff"/>
      </w:rPr>
    </w:lvl>
  </w:abstractNum>
  <w:abstractNum w:abstractNumId="9991107">
    <w:lvl>
      <w:start w:val="1"/>
      <w:numFmt w:val="decimal"/>
      <w:suff w:val="tab"/>
      <w:lvlText w:val="%1."/>
      <w:rPr>
        <w:color w:val="3370ff"/>
      </w:rPr>
    </w:lvl>
  </w:abstractNum>
  <w:abstractNum w:abstractNumId="9991108">
    <w:lvl>
      <w:start w:val="2"/>
      <w:numFmt w:val="decimal"/>
      <w:suff w:val="tab"/>
      <w:lvlText w:val="%1."/>
      <w:rPr>
        <w:color w:val="3370ff"/>
      </w:rPr>
    </w:lvl>
  </w:abstractNum>
  <w:abstractNum w:abstractNumId="9991109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9991087"/>
  </w:num>
  <w:num w:numId="2">
    <w:abstractNumId w:val="9991088"/>
  </w:num>
  <w:num w:numId="3">
    <w:abstractNumId w:val="9991089"/>
  </w:num>
  <w:num w:numId="4">
    <w:abstractNumId w:val="9991090"/>
  </w:num>
  <w:num w:numId="5">
    <w:abstractNumId w:val="9991091"/>
  </w:num>
  <w:num w:numId="6">
    <w:abstractNumId w:val="9991092"/>
  </w:num>
  <w:num w:numId="7">
    <w:abstractNumId w:val="9991093"/>
  </w:num>
  <w:num w:numId="8">
    <w:abstractNumId w:val="9991094"/>
  </w:num>
  <w:num w:numId="9">
    <w:abstractNumId w:val="9991095"/>
  </w:num>
  <w:num w:numId="10">
    <w:abstractNumId w:val="9991096"/>
  </w:num>
  <w:num w:numId="11">
    <w:abstractNumId w:val="9991097"/>
  </w:num>
  <w:num w:numId="12">
    <w:abstractNumId w:val="9991098"/>
  </w:num>
  <w:num w:numId="13">
    <w:abstractNumId w:val="9991099"/>
  </w:num>
  <w:num w:numId="14">
    <w:abstractNumId w:val="9991100"/>
  </w:num>
  <w:num w:numId="15">
    <w:abstractNumId w:val="9991101"/>
  </w:num>
  <w:num w:numId="16">
    <w:abstractNumId w:val="9991102"/>
  </w:num>
  <w:num w:numId="17">
    <w:abstractNumId w:val="9991103"/>
  </w:num>
  <w:num w:numId="18">
    <w:abstractNumId w:val="9991104"/>
  </w:num>
  <w:num w:numId="19">
    <w:abstractNumId w:val="9991105"/>
  </w:num>
  <w:num w:numId="20">
    <w:abstractNumId w:val="9991106"/>
  </w:num>
  <w:num w:numId="21">
    <w:abstractNumId w:val="9991107"/>
  </w:num>
  <w:num w:numId="22">
    <w:abstractNumId w:val="9991108"/>
  </w:num>
  <w:num w:numId="23">
    <w:abstractNumId w:val="999110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2026-03-04T13:07:59Z</dcterms:created>
  <dc:creator>Apache POI</dc:creator>
</cp:coreProperties>
</file>