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7285"/>
          <w:sz w:val="20"/>
          <w:szCs w:val="20"/>
        </w:rPr>
        <w:t xml:space="preserve">АНАЛИЗ ПРОДУКТА И ФУНКЦИОНАЛЬНАЯ СПЕЦИФИКАЦИЯ</w:t>
      </w: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3D4F"/>
          <w:sz w:val="52"/>
          <w:szCs w:val="52"/>
        </w:rPr>
        <w:t xml:space="preserve">Навигатор ПП РФ №719</w:t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3"/>
          <w:sz w:val="22"/>
          <w:szCs w:val="22"/>
        </w:rPr>
        <w:t xml:space="preserve">AI-ассистент по подтверждению производства промышленной продукции</w:t>
      </w:r>
    </w:p>
    <w:p>
      <w:pPr>
        <w:spacing w:after="4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3"/>
          <w:sz w:val="22"/>
          <w:szCs w:val="22"/>
        </w:rPr>
        <w:t xml:space="preserve">для Курской торгово-промышленной палаты</w:t>
      </w:r>
    </w:p>
    <w:p>
      <w:pPr>
        <w:pBdr>
          <w:bottom w:val="single" w:color="0B7285" w:sz="12"/>
        </w:pBdr>
        <w:spacing w:after="3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/>
      </w:r>
    </w:p>
    <w:p>
      <w:pPr>
        <w:spacing w:after="8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3D4F"/>
          <w:sz w:val="20"/>
          <w:szCs w:val="20"/>
        </w:rPr>
        <w:t xml:space="preserve">Двухтрековая стратегия · Полная спецификация по версиям</w:t>
      </w:r>
    </w:p>
    <w:p>
      <w:pPr>
        <w:spacing w:after="5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3"/>
          <w:sz w:val="18"/>
          <w:szCs w:val="18"/>
        </w:rPr>
        <w:t xml:space="preserve">Трек A — эксперт ТПП  ·  Трек B — плательщик (производитель / консультант)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A94A0"/>
          <w:sz w:val="18"/>
          <w:szCs w:val="18"/>
        </w:rPr>
        <w:t xml:space="preserve">Версия документа 1.0  ·  3 июля 2026</w:t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A94A0"/>
          <w:sz w:val="16"/>
          <w:szCs w:val="16"/>
        </w:rPr>
        <w:t xml:space="preserve">Основано на README продукта (v0.5) и самостоятельном анализе рынка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3D4F"/>
          <w:sz w:val="30"/>
          <w:szCs w:val="30"/>
        </w:rPr>
        <w:t xml:space="preserve">Содержание</w:t>
      </w:r>
    </w:p>
    <w:tbl>
      <w:tblPr>
        <w:tblW w:type="pct" w:w="100%"/>
        <w:tblBorders>
          <w:top w:val="none"/>
          <w:left w:val="single" w:color="0B7285" w:sz="24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E3F2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8"/>
                <w:szCs w:val="18"/>
              </w:rPr>
              <w:t xml:space="preserve">Оглавление появится после обновления поля.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В Word: выделите эту область → правый клик → «Обновить поле» → «Обновить целиком». Номера страниц и ссылки проставятся автоматически.</w:t>
            </w:r>
          </w:p>
        </w:tc>
      </w:tr>
    </w:tbl>
    <w:p>
      <w:pPr>
        <w:spacing w:after="120"/>
      </w:pP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3D4F"/>
          <w:sz w:val="30"/>
          <w:szCs w:val="30"/>
        </w:rPr>
        <w:t xml:space="preserve">1. Резюме и как читать документ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Это документ двойного назначения: аналитический разбор текущей концепции продукта и структурированный набор функциональных требований к каждой версии на пути разработки. Он собран под двухтрековую стратегию, где продукт развивается одновременно в двух направлениях, опираясь на общее техническое ядро.</w:t>
      </w:r>
    </w:p>
    <w:p>
      <w:pPr>
        <w:spacing w:after="60"/>
      </w:pPr>
    </w:p>
    <w:tbl>
      <w:tblPr>
        <w:tblW w:type="pct" w:w="100%"/>
        <w:tblBorders>
          <w:top w:val="none"/>
          <w:left w:val="single" w:color="2B6A30" w:sz="24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ED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20"/>
                <w:szCs w:val="20"/>
              </w:rPr>
              <w:t xml:space="preserve">Ключевая идея документа.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У продукта одно ядро и две надстройки. Ядро — база знаний 719, движок гибридного поиска и, критически, механизм актуализации — общее для всех пользователей. Надстройки расходятся: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7285"/>
                <w:sz w:val="20"/>
                <w:szCs w:val="20"/>
              </w:rPr>
              <w:t xml:space="preserve">эксперту ТПП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 нужны петля обучения и генерация проектов актов;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20"/>
                <w:szCs w:val="20"/>
              </w:rPr>
              <w:t xml:space="preserve">плательщику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 — калькулятор баллов с разрывом и пред-проверка причин отказа. Это позволяет не дублировать разработку, а наращивать общий фундамент и подключать к нему прикладные модули под каждый сегмент.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0B7285"/>
          <w:sz w:val="21"/>
          <w:szCs w:val="21"/>
        </w:rPr>
        <w:t xml:space="preserve">Легенда треков</w:t>
      </w:r>
    </w:p>
    <w:tbl>
      <w:tblPr>
        <w:tblW w:type="dxa" w:w="9600"/>
        <w:tblBorders>
          <w:top w:val="single" w:color="D5DEE6" w:sz="2"/>
          <w:left w:val="single" w:color="D5DEE6" w:sz="2"/>
          <w:bottom w:val="single" w:color="D5DEE6" w:sz="2"/>
          <w:right w:val="single" w:color="D5DEE6" w:sz="2"/>
          <w:insideH w:val="single" w:color="E6ECF1" w:sz="2"/>
          <w:insideV w:val="single" w:color="E6ECF1" w:sz="2"/>
        </w:tblBorders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Трек</w:t>
            </w:r>
          </w:p>
        </w:tc>
        <w:tc>
          <w:tcPr>
            <w:tcW w:type="dxa" w:w="34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40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Что для него ценно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A30"/>
                <w:sz w:val="18"/>
                <w:szCs w:val="18"/>
              </w:rPr>
              <w:t xml:space="preserve">Общее ядро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Все сегменты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База 719, поиск, актуализация, ОКПД2-навигация, чат</w:t>
            </w:r>
          </w:p>
        </w:tc>
      </w:tr>
      <w:tr>
        <w:tc>
          <w:tcPr>
            <w:tcW w:type="dxa" w:w="22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7285"/>
                <w:sz w:val="18"/>
                <w:szCs w:val="18"/>
              </w:rPr>
              <w:t xml:space="preserve">Трек A</w:t>
            </w:r>
          </w:p>
        </w:tc>
        <w:tc>
          <w:tcPr>
            <w:tcW w:type="dxa" w:w="3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Эксперт уполномоченной ТПП</w:t>
            </w:r>
          </w:p>
        </w:tc>
        <w:tc>
          <w:tcPr>
            <w:tcW w:type="dxa" w:w="40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Скорость поиска позиции, петля обучения, проекты актов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8"/>
                <w:szCs w:val="18"/>
              </w:rPr>
              <w:t xml:space="preserve">Трек B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Производитель / консультант (плательщик)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Ответ «пройду или откажут», добор баллов, пред-проверка пакета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0B7285"/>
          <w:sz w:val="21"/>
          <w:szCs w:val="21"/>
        </w:rPr>
        <w:t xml:space="preserve">Как устроены разделы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Раздел 2–4 — анализ концепции: что продукт есть сегодня, где сильные и слабые места, какие риски.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Раздел 5 — сквозная модель данных и нефункциональные требования, общие для всех версий.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Раздел 6 — функциональные требования по версиям (0.5 → 4.0), каждая с user stories и критериями приёмки, размеченными по трекам.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Раздел 7 — сводная матрица версий и рекомендации по приоритету.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3D4F"/>
          <w:sz w:val="30"/>
          <w:szCs w:val="30"/>
        </w:rPr>
        <w:t xml:space="preserve">2. Анализ текущей концепции</w:t>
      </w:r>
    </w:p>
    <w:p>
      <w:pPr>
        <w:pStyle w:val="Heading2"/>
        <w:pBdr>
          <w:bottom w:val="single" w:color="D5DEE6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B3D4F"/>
          <w:sz w:val="24"/>
          <w:szCs w:val="24"/>
        </w:rPr>
        <w:t xml:space="preserve">2.1. Что продукт представляет собой сегодня (v0.5)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Навигатор — это RAG-ассистент (retrieval-augmented generation) поверх структурированной базы знаний Постановления Правительства РФ №719. Пользователь описывает продукцию словами или указывает код ОКПД2; система находит применимую позицию в приложениях к постановлению, показывает требования к локализации, баллы и порог, формирует чек-лист документов. Финальный вердикт остаётся за экспертом — продукт позиционируется как источник предварительного анализа, а не заключения.</w:t>
      </w:r>
    </w:p>
    <w:p>
      <w:pPr>
        <w:spacing w:after="6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Архитектурная суть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18"/>
          <w:szCs w:val="18"/>
        </w:rPr>
        <w:t xml:space="preserve">База знаний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18"/>
          <w:szCs w:val="18"/>
        </w:rPr>
        <w:t xml:space="preserve"> — 719 структурировано в JSON (29 разделов приложения, ~1347 видов продукции) и проиндексировано в векторной БД, поэтому на запрос модель не парсит закон заново.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18"/>
          <w:szCs w:val="18"/>
        </w:rPr>
        <w:t xml:space="preserve">Поиск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18"/>
          <w:szCs w:val="18"/>
        </w:rPr>
        <w:t xml:space="preserve"> — гибридный: плотные эмбеддинги (семантика) + разреженный BM25 (точные термины и коды ОКПД2), слияние результатов и приоритет проверенных кейсов эксперта. Заявленный recall@1 — 0.98.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18"/>
          <w:szCs w:val="18"/>
        </w:rPr>
        <w:t xml:space="preserve">Генерация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18"/>
          <w:szCs w:val="18"/>
        </w:rPr>
        <w:t xml:space="preserve"> — LLM отвечает строго по извлечённому контексту, с обязательной пометкой о предварительном характере.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18"/>
          <w:szCs w:val="18"/>
        </w:rPr>
        <w:t xml:space="preserve">Петля обучения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18"/>
          <w:szCs w:val="18"/>
        </w:rPr>
        <w:t xml:space="preserve"> — исправления эксперта сохраняются как верифицированные кейсы и учитываются в будущих похожих ответах без дообучения модели.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18"/>
          <w:szCs w:val="18"/>
        </w:rPr>
        <w:t xml:space="preserve">Инфраструктура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18"/>
          <w:szCs w:val="18"/>
        </w:rPr>
        <w:t xml:space="preserve"> — RF-first, self-hosted; единственный внешний вызов — LLM API. Данные остаются внутри контура ТПП, что закрывает 152-ФЗ.</w:t>
      </w:r>
    </w:p>
    <w:p>
      <w:pPr>
        <w:pStyle w:val="Heading2"/>
        <w:pBdr>
          <w:bottom w:val="single" w:color="D5DEE6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B3D4F"/>
          <w:sz w:val="24"/>
          <w:szCs w:val="24"/>
        </w:rPr>
        <w:t xml:space="preserve">2.2. Ценностное предложение — как заявлено и как есть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В README продукт нацелен на эксперта ТПП: сузить рутину поиска позиции и ускорить прохождение процедуры для предприятий, не подменяя экспертизу. Ниша обозначена честно: узкая глубина по 719 плюс встроенная петля эксперта плюс self-hosted внутри ТПП — в отличие от общеправовых облачных систем.</w:t>
      </w:r>
    </w:p>
    <w:p>
      <w:pPr>
        <w:spacing w:after="60"/>
      </w:pPr>
    </w:p>
    <w:tbl>
      <w:tblPr>
        <w:tblW w:type="pct" w:w="100%"/>
        <w:tblBorders>
          <w:top w:val="none"/>
          <w:left w:val="single" w:color="96690B" w:sz="24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FDF3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20"/>
                <w:szCs w:val="20"/>
              </w:rPr>
              <w:t xml:space="preserve">Расхождение, выявленное анализом рынка.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Заявленный пользователь (эксперт ТПП) — тот, у кого боль наименее острая: он уже носитель экспертизы, инструмент экономит ему время, но не спасает от катастрофы. Наибольшую готовность платить показывают производитель и консультант, которые готовят заявки и которым больно от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отказа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, а не от поиска позиции. Отсюда — решение о двухтрековости: сохранить экспертный трек как вход для пилота и накопления кейсов, но параллельно строить функционал, отвечающий на вопрос плательщика «пройду или откажут».</w:t>
            </w:r>
          </w:p>
        </w:tc>
      </w:tr>
    </w:tbl>
    <w:p>
      <w:pPr>
        <w:pStyle w:val="Heading2"/>
        <w:pBdr>
          <w:bottom w:val="single" w:color="D5DEE6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B3D4F"/>
          <w:sz w:val="24"/>
          <w:szCs w:val="24"/>
        </w:rPr>
        <w:t xml:space="preserve">2.3. Сильные стороны концепции</w:t>
      </w:r>
    </w:p>
    <w:tbl>
      <w:tblPr>
        <w:tblW w:type="dxa" w:w="9600"/>
        <w:tblBorders>
          <w:top w:val="single" w:color="D5DEE6" w:sz="2"/>
          <w:left w:val="single" w:color="D5DEE6" w:sz="2"/>
          <w:bottom w:val="single" w:color="D5DEE6" w:sz="2"/>
          <w:right w:val="single" w:color="D5DEE6" w:sz="2"/>
          <w:insideH w:val="single" w:color="E6ECF1" w:sz="2"/>
          <w:insideV w:val="single" w:color="E6ECF1" w:sz="2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Сила</w:t>
            </w:r>
          </w:p>
        </w:tc>
        <w:tc>
          <w:tcPr>
            <w:tcW w:type="dxa" w:w="64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Почему это важно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Узкая специализация по 719</w:t>
            </w:r>
          </w:p>
        </w:tc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Прямого AI-аналога именно под 719 для подтверждения производства в открытом поле нет. Глубина в узкой теме — защитный ров против общеправовых систем.</w:t>
            </w:r>
          </w:p>
        </w:tc>
      </w:tr>
      <w:tr>
        <w:tc>
          <w:tcPr>
            <w:tcW w:type="dxa" w:w="32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RF-first / self-hosted</w:t>
            </w:r>
          </w:p>
        </w:tc>
        <w:tc>
          <w:tcPr>
            <w:tcW w:type="dxa" w:w="6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Данные внутри контура ТПП — прямое попадание в 152-ФЗ и требования госсегмента, где облачные решения проигрывают.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Петля обучения эксперта</w:t>
            </w:r>
          </w:p>
        </w:tc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Единственный механизм, который со временем делает продукт точнее конкурентов и который госсистема вряд ли повторит.</w:t>
            </w:r>
          </w:p>
        </w:tc>
      </w:tr>
      <w:tr>
        <w:tc>
          <w:tcPr>
            <w:tcW w:type="dxa" w:w="32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Дешевизна запроса (~11 коп.)</w:t>
            </w:r>
          </w:p>
        </w:tc>
        <w:tc>
          <w:tcPr>
            <w:tcW w:type="dxa" w:w="6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Снимает возражение по стоимости эксплуатации; можно давать щедрые лимиты без риска для экономики.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Статус Курской ТПП</w:t>
            </w:r>
          </w:p>
        </w:tc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Вторая в перечне уполномоченных палат после центрального аппарата ТПП РФ — сильный референс для тиражирования «от палаты к палате».</w:t>
            </w:r>
          </w:p>
        </w:tc>
      </w:tr>
    </w:tbl>
    <w:p>
      <w:pPr>
        <w:pStyle w:val="Heading2"/>
        <w:pBdr>
          <w:bottom w:val="single" w:color="D5DEE6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B3D4F"/>
          <w:sz w:val="24"/>
          <w:szCs w:val="24"/>
        </w:rPr>
        <w:t xml:space="preserve">2.4. Слабые места и ограничения концепции</w:t>
      </w:r>
    </w:p>
    <w:tbl>
      <w:tblPr>
        <w:tblW w:type="dxa" w:w="9600"/>
        <w:tblBorders>
          <w:top w:val="single" w:color="D5DEE6" w:sz="2"/>
          <w:left w:val="single" w:color="D5DEE6" w:sz="2"/>
          <w:bottom w:val="single" w:color="D5DEE6" w:sz="2"/>
          <w:right w:val="single" w:color="D5DEE6" w:sz="2"/>
          <w:insideH w:val="single" w:color="E6ECF1" w:sz="2"/>
          <w:insideV w:val="single" w:color="E6ECF1" w:sz="2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Ограничение</w:t>
            </w:r>
          </w:p>
        </w:tc>
        <w:tc>
          <w:tcPr>
            <w:tcW w:type="dxa" w:w="64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Суть и следствие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333"/>
                <w:sz w:val="18"/>
                <w:szCs w:val="18"/>
              </w:rPr>
              <w:t xml:space="preserve">Справочник ≠ повод платить</w:t>
            </w:r>
          </w:p>
        </w:tc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v0.5 отвечает «где позиция и требования» — но это первые 5% пути и наименее болезненные. Бесплатный аналог (поиск по тексту, ГИСП) существует. Ценность для плательщика начинается за пределами навигатора.</w:t>
            </w:r>
          </w:p>
        </w:tc>
      </w:tr>
      <w:tr>
        <w:tc>
          <w:tcPr>
            <w:tcW w:type="dxa" w:w="32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333"/>
                <w:sz w:val="18"/>
                <w:szCs w:val="18"/>
              </w:rPr>
              <w:t xml:space="preserve">Узость экспертного рынка</w:t>
            </w:r>
          </w:p>
        </w:tc>
        <w:tc>
          <w:tcPr>
            <w:tcW w:type="dxa" w:w="6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Если целевой юзер — только эксперт, весь рынок — 47–49 палат: длинный цикл внедрения, решение на уровне руководства палаты, видимый потолок выручки.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333"/>
                <w:sz w:val="18"/>
                <w:szCs w:val="18"/>
              </w:rPr>
              <w:t xml:space="preserve">Риск устаревания базы</w:t>
            </w:r>
          </w:p>
        </w:tc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719 правится по 6+ раз в год, пороги растут по годам. Отставание базы даже на одну редакцию = формально неверный ответ, что фатально для доверия эксперта и опасно для плательщика.</w:t>
            </w:r>
          </w:p>
        </w:tc>
      </w:tr>
      <w:tr>
        <w:tc>
          <w:tcPr>
            <w:tcW w:type="dxa" w:w="32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333"/>
                <w:sz w:val="18"/>
                <w:szCs w:val="18"/>
              </w:rPr>
              <w:t xml:space="preserve">Ответственность за ошибку</w:t>
            </w:r>
          </w:p>
        </w:tc>
        <w:tc>
          <w:tcPr>
            <w:tcW w:type="dxa" w:w="6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Нехватка даже 5 баллов = отказ ТПП. Если ответ AI воспримут как основание для решения — репутационный и юридический риск. Принцип «AI — черновик» должен оставаться жёстким.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3D4F"/>
          <w:sz w:val="30"/>
          <w:szCs w:val="30"/>
        </w:rPr>
        <w:t xml:space="preserve">3. Рынок, конкуренты и риски</w:t>
      </w:r>
    </w:p>
    <w:p>
      <w:pPr>
        <w:pStyle w:val="Heading2"/>
        <w:pBdr>
          <w:bottom w:val="single" w:color="D5DEE6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B3D4F"/>
          <w:sz w:val="24"/>
          <w:szCs w:val="24"/>
        </w:rPr>
        <w:t xml:space="preserve">3.1. Кто на рынке и чем продукт отличается</w:t>
      </w:r>
    </w:p>
    <w:tbl>
      <w:tblPr>
        <w:tblW w:type="dxa" w:w="9600"/>
        <w:tblBorders>
          <w:top w:val="single" w:color="D5DEE6" w:sz="2"/>
          <w:left w:val="single" w:color="D5DEE6" w:sz="2"/>
          <w:bottom w:val="single" w:color="D5DEE6" w:sz="2"/>
          <w:right w:val="single" w:color="D5DEE6" w:sz="2"/>
          <w:insideH w:val="single" w:color="E6ECF1" w:sz="2"/>
          <w:insideV w:val="single" w:color="E6ECF1" w:sz="2"/>
        </w:tblBorders>
      </w:tblPr>
      <w:tblGrid>
        <w:gridCol w:w="2900"/>
        <w:gridCol w:w="3400"/>
        <w:gridCol w:w="3300"/>
      </w:tblGrid>
      <w:tr>
        <w:trPr>
          <w:tblHeader/>
        </w:trPr>
        <w:tc>
          <w:tcPr>
            <w:tcW w:type="dxa" w:w="29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Игрок / заменитель</w:t>
            </w:r>
          </w:p>
        </w:tc>
        <w:tc>
          <w:tcPr>
            <w:tcW w:type="dxa" w:w="34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33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Отличие продукта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«Система Госзаказ»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Интерактивный поиск баллов по ОКПД2 / наименованию — но для заказчиков-закупщиков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Продукт работает со стороны подтверждения производства, а не проверки заявок на тендере</w:t>
            </w:r>
          </w:p>
        </w:tc>
      </w:tr>
      <w:tr>
        <w:tc>
          <w:tcPr>
            <w:tcW w:type="dxa" w:w="29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Консультанты (reestr-719, Corestone и др.)</w:t>
            </w:r>
          </w:p>
        </w:tc>
        <w:tc>
          <w:tcPr>
            <w:tcW w:type="dxa" w:w="3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Полный ручной сервис «под ключ» за деньги</w:t>
            </w:r>
          </w:p>
        </w:tc>
        <w:tc>
          <w:tcPr>
            <w:tcW w:type="dxa" w:w="33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Продукт автоматизирует их самый дорогой ручной этап — потенциально не конкурент, а клиент/канал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Поиск в ГИСП / браузере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Бесплатный статус-кво: Ctrl+F по тексту постановления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Скорость и снятие ошибок разночтения наименований — но планку надо брать заметным превосходством</w:t>
            </w:r>
          </w:p>
        </w:tc>
      </w:tr>
      <w:tr>
        <w:tc>
          <w:tcPr>
            <w:tcW w:type="dxa" w:w="29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Контур, КонсультантПлюс</w:t>
            </w:r>
          </w:p>
        </w:tc>
        <w:tc>
          <w:tcPr>
            <w:tcW w:type="dxa" w:w="3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Общеправовой и справочный контекст</w:t>
            </w:r>
          </w:p>
        </w:tc>
        <w:tc>
          <w:tcPr>
            <w:tcW w:type="dxa" w:w="33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Узкая глубина по 719 + петля эксперта — ров, если удержать актуальность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none"/>
          <w:left w:val="single" w:color="2B6A30" w:sz="24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E9F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A30"/>
                <w:sz w:val="20"/>
                <w:szCs w:val="20"/>
              </w:rPr>
              <w:t xml:space="preserve">Вывод по конкуренции.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Прямого AI-аналога «под 719 для подтверждения производства» в открытом поле не видно — окно есть. Но существование интерактивного сервиса поиска баллов (пусть для другого сегмента) доказывает: спрос на автоматизацию этой боли рынок уже распознал. Окно не бесконечно.</w:t>
            </w:r>
          </w:p>
        </w:tc>
      </w:tr>
    </w:tbl>
    <w:p>
      <w:pPr>
        <w:pStyle w:val="Heading2"/>
        <w:pBdr>
          <w:bottom w:val="single" w:color="D5DEE6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B3D4F"/>
          <w:sz w:val="24"/>
          <w:szCs w:val="24"/>
        </w:rPr>
        <w:t xml:space="preserve">3.2. Карта рисков</w:t>
      </w:r>
    </w:p>
    <w:tbl>
      <w:tblPr>
        <w:tblW w:type="dxa" w:w="9600"/>
        <w:tblBorders>
          <w:top w:val="single" w:color="D5DEE6" w:sz="2"/>
          <w:left w:val="single" w:color="D5DEE6" w:sz="2"/>
          <w:bottom w:val="single" w:color="D5DEE6" w:sz="2"/>
          <w:right w:val="single" w:color="D5DEE6" w:sz="2"/>
          <w:insideH w:val="single" w:color="E6ECF1" w:sz="2"/>
          <w:insideV w:val="single" w:color="E6ECF1" w:sz="2"/>
        </w:tblBorders>
      </w:tblPr>
      <w:tblGrid>
        <w:gridCol w:w="2600"/>
        <w:gridCol w:w="1300"/>
        <w:gridCol w:w="5700"/>
      </w:tblGrid>
      <w:tr>
        <w:trPr>
          <w:tblHeader/>
        </w:trPr>
        <w:tc>
          <w:tcPr>
            <w:tcW w:type="dxa" w:w="26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13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57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Митигация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Устаревание базы 719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333"/>
                <w:sz w:val="17"/>
                <w:szCs w:val="17"/>
              </w:rPr>
              <w:t xml:space="preserve">Высокий</w:t>
            </w:r>
          </w:p>
        </w:tc>
        <w:tc>
          <w:tcPr>
            <w:tcW w:type="dxa" w:w="5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Сделать актуализацию ядром продукта: версионирование редакций, дата актуальности в каждом ответе, процесс регулярного обновления и верификации.</w:t>
            </w:r>
          </w:p>
        </w:tc>
      </w:tr>
      <w:tr>
        <w:tc>
          <w:tcPr>
            <w:tcW w:type="dxa" w:w="26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«Государство сделает само»</w:t>
            </w:r>
          </w:p>
        </w:tc>
        <w:tc>
          <w:tcPr>
            <w:tcW w:type="dxa" w:w="13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7"/>
                <w:szCs w:val="17"/>
              </w:rPr>
              <w:t xml:space="preserve">Средний</w:t>
            </w:r>
          </w:p>
        </w:tc>
        <w:tc>
          <w:tcPr>
            <w:tcW w:type="dxa" w:w="57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Защита — то, чего госсистема не сделает: петля живого эксперта, объяснение «почему», работа на стороне заявителя, консультационный слой.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Ответственность за ошибку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7"/>
                <w:szCs w:val="17"/>
              </w:rPr>
              <w:t xml:space="preserve">Средний</w:t>
            </w:r>
          </w:p>
        </w:tc>
        <w:tc>
          <w:tcPr>
            <w:tcW w:type="dxa" w:w="5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Жёсткий дисклеймер «AI — черновик, эксперт — вердикт»; чем ближе к предсказанию прохождения, тем явнее оговорка о финальном слове ТПП.</w:t>
            </w:r>
          </w:p>
        </w:tc>
      </w:tr>
      <w:tr>
        <w:tc>
          <w:tcPr>
            <w:tcW w:type="dxa" w:w="26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Узость сегмента (только палаты)</w:t>
            </w:r>
          </w:p>
        </w:tc>
        <w:tc>
          <w:tcPr>
            <w:tcW w:type="dxa" w:w="13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7"/>
                <w:szCs w:val="17"/>
              </w:rPr>
              <w:t xml:space="preserve">Средний</w:t>
            </w:r>
          </w:p>
        </w:tc>
        <w:tc>
          <w:tcPr>
            <w:tcW w:type="dxa" w:w="57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Двухтрековость: параллельный разворот к производителю/консультанту снимает потолок выручки.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3D4F"/>
          <w:sz w:val="30"/>
          <w:szCs w:val="30"/>
        </w:rPr>
        <w:t xml:space="preserve">4. Дорожная карта ценности: от справочника к предсказателю отказа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Прежде чем перечислять требования по версиям, важно зафиксировать логику ценности для плательщика — она задаёт приоритеты трека B. Граница «платят / не платят» проходит не там, где продукт находит позицию, а там, где он отвечает на вопрос «пройду или откажут» и «что сделать, чтобы пройти».</w:t>
      </w:r>
    </w:p>
    <w:p>
      <w:pPr>
        <w:spacing w:after="80"/>
      </w:pPr>
    </w:p>
    <w:tbl>
      <w:tblPr>
        <w:tblW w:type="pct" w:w="100%"/>
        <w:tblBorders>
          <w:top w:val="single" w:color="D9E2E9" w:sz="4"/>
          <w:left w:val="single" w:color="D9E2E9" w:sz="4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20"/>
                <w:szCs w:val="20"/>
              </w:rPr>
              <w:t xml:space="preserve">Ур. 1 — Справочник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5560"/>
                <w:sz w:val="15"/>
                <w:szCs w:val="15"/>
              </w:rPr>
              <w:t xml:space="preserve"> ЕСТЬ (0.5) 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Находит позицию, требования, порог, чек-лист.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7"/>
                <w:szCs w:val="17"/>
              </w:rPr>
              <w:t xml:space="preserve">Почему платят: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Гигиена, а не повод платить. Бесплатный аналог существует.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6"/>
                <w:szCs w:val="16"/>
              </w:rPr>
              <w:t xml:space="preserve">  ·  готовность платить: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333"/>
                <w:sz w:val="16"/>
                <w:szCs w:val="16"/>
              </w:rPr>
              <w:t xml:space="preserve">низкая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D9E2E9" w:sz="4"/>
          <w:left w:val="single" w:color="D9E2E9" w:sz="4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20"/>
                <w:szCs w:val="20"/>
              </w:rPr>
              <w:t xml:space="preserve">Ур. 2 — Калькулятор баллов с разрывом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A30"/>
                <w:sz w:val="15"/>
                <w:szCs w:val="15"/>
              </w:rPr>
              <w:t xml:space="preserve"> ПЕРВЫЙ ПОРОГ ОПЛАТЫ 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Считает баллы конкретного изделия при конкретных операциях и показывает разрыв до порога текущего года.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7"/>
                <w:szCs w:val="17"/>
              </w:rPr>
              <w:t xml:space="preserve">Почему платят: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Нехватка даже 5 баллов = отказ. Первый ответ на настоящий вопрос — «пройду или нет».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6"/>
                <w:szCs w:val="16"/>
              </w:rPr>
              <w:t xml:space="preserve">  ·  готовность платить: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333"/>
                <w:sz w:val="16"/>
                <w:szCs w:val="16"/>
              </w:rPr>
              <w:t xml:space="preserve">появляется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D9E2E9" w:sz="4"/>
          <w:left w:val="single" w:color="D9E2E9" w:sz="4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20"/>
                <w:szCs w:val="20"/>
              </w:rPr>
              <w:t xml:space="preserve">Ур. 3 — Подсказки «что сделать, чтобы хватило»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7285"/>
                <w:sz w:val="15"/>
                <w:szCs w:val="15"/>
              </w:rPr>
              <w:t xml:space="preserve"> ЯДРО ЦЕННОСТИ 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При недоборе — конкретные ходы: какую операцию локализовать, какой компонент заменить российским аналогом.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7"/>
                <w:szCs w:val="17"/>
              </w:rPr>
              <w:t xml:space="preserve">Почему платят: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Именно за это консультанты берут деньги вручную. Продукт становится советником.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6"/>
                <w:szCs w:val="16"/>
              </w:rPr>
              <w:t xml:space="preserve">  ·  готовность платить: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333"/>
                <w:sz w:val="16"/>
                <w:szCs w:val="16"/>
              </w:rPr>
              <w:t xml:space="preserve">высокая, регулярная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D9E2E9" w:sz="4"/>
          <w:left w:val="single" w:color="D9E2E9" w:sz="4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20"/>
                <w:szCs w:val="20"/>
              </w:rPr>
              <w:t xml:space="preserve">Ур. 4 — Пред-проверка пакета документов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5"/>
                <w:szCs w:val="15"/>
              </w:rPr>
              <w:t xml:space="preserve"> УБИЙЦА ОТКАЗОВ 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Прогон пакета до подачи: комплектность КД, типовые причины разворота, соответствие факта и документов, тип документа.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7"/>
                <w:szCs w:val="17"/>
              </w:rPr>
              <w:t xml:space="preserve">Почему платят: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Закрывает главный страх — отказ после ожидания и потеря доступа к 44-ФЗ/223-ФЗ.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6"/>
                <w:szCs w:val="16"/>
              </w:rPr>
              <w:t xml:space="preserve">  ·  готовность платить: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333"/>
                <w:sz w:val="16"/>
                <w:szCs w:val="16"/>
              </w:rPr>
              <w:t xml:space="preserve">высокая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D9E2E9" w:sz="4"/>
          <w:left w:val="single" w:color="D9E2E9" w:sz="4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20"/>
                <w:szCs w:val="20"/>
              </w:rPr>
              <w:t xml:space="preserve">Ур. 5 — Генерация черновиков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3F8A"/>
                <w:sz w:val="15"/>
                <w:szCs w:val="15"/>
              </w:rPr>
              <w:t xml:space="preserve"> ЭКОНОМИЯ ЧАСОВ 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Черновики актов, справок, калькуляций под найденную позицию и рассчитанные баллы.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7"/>
                <w:szCs w:val="17"/>
              </w:rPr>
              <w:t xml:space="preserve">Почему платят: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Для консультанта поточно — прямая экономия человеко-часов и понятный ROI.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6"/>
                <w:szCs w:val="16"/>
              </w:rPr>
              <w:t xml:space="preserve">  ·  готовность платить: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333"/>
                <w:sz w:val="16"/>
                <w:szCs w:val="16"/>
              </w:rPr>
              <w:t xml:space="preserve">высокая у консультантов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none"/>
          <w:left w:val="single" w:color="96690B" w:sz="24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FDF3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20"/>
                <w:szCs w:val="20"/>
              </w:rPr>
              <w:t xml:space="preserve">Разворот приоритетов.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Для эксперта логичен порядок навигатор → чат → валидатор. Для плательщика ценность сконцентрирована в Уровнях 2–4, и минимум, с которого начинается оплата, — калькулятор с разрывом баллов + подсказки по добору. В версиях ниже это отражено: калькулятор поднят по приоритету в треке B.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3D4F"/>
          <w:sz w:val="30"/>
          <w:szCs w:val="30"/>
        </w:rPr>
        <w:t xml:space="preserve">5. Сквозная модель данных и нефункциональные требования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Эти сущности и требования общие для всех версий и обоих треков — они образуют фундамент, поверх которого работают функциональные требования из раздела 6.</w:t>
      </w:r>
    </w:p>
    <w:p>
      <w:pPr>
        <w:pStyle w:val="Heading2"/>
        <w:pBdr>
          <w:bottom w:val="single" w:color="D5DEE6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B3D4F"/>
          <w:sz w:val="24"/>
          <w:szCs w:val="24"/>
        </w:rPr>
        <w:t xml:space="preserve">5.1. Ключевые сущности данных</w:t>
      </w:r>
    </w:p>
    <w:tbl>
      <w:tblPr>
        <w:tblW w:type="dxa" w:w="9600"/>
        <w:tblBorders>
          <w:top w:val="single" w:color="D5DEE6" w:sz="2"/>
          <w:left w:val="single" w:color="D5DEE6" w:sz="2"/>
          <w:bottom w:val="single" w:color="D5DEE6" w:sz="2"/>
          <w:right w:val="single" w:color="D5DEE6" w:sz="2"/>
          <w:insideH w:val="single" w:color="E6ECF1" w:sz="2"/>
          <w:insideV w:val="single" w:color="E6ECF1" w:sz="2"/>
        </w:tblBorders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Сущность</w:t>
            </w:r>
          </w:p>
        </w:tc>
        <w:tc>
          <w:tcPr>
            <w:tcW w:type="dxa" w:w="34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36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Ключевые поля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Позиция 719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Вид продукции из приложения к постановлению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раздел, номер позиции, коды ОКПД2/ТН ВЭД, требования, операции, тип оценки (балльная/процентная/адвалорная), редакция</w:t>
            </w:r>
          </w:p>
        </w:tc>
      </w:tr>
      <w:tr>
        <w:tc>
          <w:tcPr>
            <w:tcW w:type="dxa" w:w="26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Требование / операция</w:t>
            </w:r>
          </w:p>
        </w:tc>
        <w:tc>
          <w:tcPr>
            <w:tcW w:type="dxa" w:w="3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Технологическая операция или условие с баллами</w:t>
            </w:r>
          </w:p>
        </w:tc>
        <w:tc>
          <w:tcPr>
            <w:tcW w:type="dxa" w:w="36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описание, баллы, обязательность, год вступления порога, привязка к позиции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Порог локализации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Минимум баллов/процентов по годам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позиция, значение, единица (баллы/%), год начала действия</w:t>
            </w:r>
          </w:p>
        </w:tc>
      </w:tr>
      <w:tr>
        <w:tc>
          <w:tcPr>
            <w:tcW w:type="dxa" w:w="26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7"/>
                <w:szCs w:val="17"/>
              </w:rPr>
              <w:t xml:space="preserve">Профиль изделия</w:t>
            </w:r>
          </w:p>
        </w:tc>
        <w:tc>
          <w:tcPr>
            <w:tcW w:type="dxa" w:w="3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Данные о конкретном продукте пользователя (трек B)</w:t>
            </w:r>
          </w:p>
        </w:tc>
        <w:tc>
          <w:tcPr>
            <w:tcW w:type="dxa" w:w="36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наименование, ОКПД2, состав операций в РФ, комплектующие и их происхождение, набранные баллы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7285"/>
                <w:sz w:val="17"/>
                <w:szCs w:val="17"/>
              </w:rPr>
              <w:t xml:space="preserve">Верифицированный кейс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Проверенная экспертом пара запрос→ответ (трек A, петля)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запрос, корректный ответ, автор-эксперт, дата, приоритет в поиске</w:t>
            </w:r>
          </w:p>
        </w:tc>
      </w:tr>
      <w:tr>
        <w:tc>
          <w:tcPr>
            <w:tcW w:type="dxa" w:w="26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Пользователь и роль</w:t>
            </w:r>
          </w:p>
        </w:tc>
        <w:tc>
          <w:tcPr>
            <w:tcW w:type="dxa" w:w="3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Учётка и права</w:t>
            </w:r>
          </w:p>
        </w:tc>
        <w:tc>
          <w:tcPr>
            <w:tcW w:type="dxa" w:w="36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логин, роль (user/expert/admin), устройство, история диалогов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7"/>
                <w:szCs w:val="17"/>
              </w:rPr>
              <w:t xml:space="preserve">Пакет документов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Комплект под заявку (трек B, пред-проверка)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тип документа, статус комплектности, выявленные пробелы, привязка к профилю изделия</w:t>
            </w:r>
          </w:p>
        </w:tc>
      </w:tr>
    </w:tbl>
    <w:p>
      <w:pPr>
        <w:pStyle w:val="Heading2"/>
        <w:pBdr>
          <w:bottom w:val="single" w:color="D5DEE6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B3D4F"/>
          <w:sz w:val="24"/>
          <w:szCs w:val="24"/>
        </w:rPr>
        <w:t xml:space="preserve">5.2. Нефункциональные требования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Актуальность и достоверность (критично)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Каждый ответ содержит дату актуальности базы и редакцию 719, на которую опирается.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База версионируется по редакциям постановления; при выходе новой редакции — регламентный процесс обновления и повторной верификации структуры.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Расчёт баллов и порогов всегда привязан к году: система применяет порог, действующий на дату запроса, и явно указывает год.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Контроль качества структурирования: автоматическая проверка на галлюцинации и потери при преобразовании закона в JSON.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Безопасность и соответствие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Self-hosted внутри контура ТПП; персональные и коммерческие данные заявителей не покидают периметр (152-ФЗ).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Ролевая модель доступа; изоляция данных между пользователями и, при мультипалатном развитии, между палатами.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Аудит-лог действий: кто, когда, какой запрос, какой ответ, какая правка внесена в петлю.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Надёжность и производительность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Ответ навигатора — единицы секунд; отсутствие внешних зависимостей, кроме LLM API, с корректной обработкой недоступности.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Устойчивость к нестабильной сети при обновлении моделей эмбеддингов (чанковая докачка / зеркала).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Доверие и объяснимость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Обязательная пометка о предварительном характере в каждом ответе; вердикт — за экспертом.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Каждый ответ показывает источник: раздел, номер позиции, коды — чтобы пользователь мог проверить основание.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Ответ строго по извлечённому контексту; при отсутствии данных — честный отказ, а не догадка.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3D4F"/>
          <w:sz w:val="30"/>
          <w:szCs w:val="30"/>
        </w:rPr>
        <w:t xml:space="preserve">6. Функциональные требования по версиям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Каждая версия описана через user stories с критериями приёмки. Метка трека показывает, чей это функционал: общее ядро, эксперт (A) или плательщик (B). Версии сгруппированы так, чтобы общее ядро наращивалось один раз, а прикладные модули подключались к нему под каждый сегмент.</w:t>
      </w:r>
    </w:p>
    <w:p>
      <w:pPr>
        <w:spacing w:after="60"/>
      </w:pPr>
    </w:p>
    <w:tbl>
      <w:tblPr>
        <w:tblW w:type="pct" w:w="100%"/>
        <w:tblBorders>
          <w:top w:val="none"/>
          <w:left w:val="single" w:color="2B6A30" w:sz="24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ED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Принцип нумерации версий.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Оставлена сквозная линейка 0.5 → 4.0. Внутри версий 1.0+ требования обоих треков идут параллельно: часть релиза закрывает потребности эксперта, часть — плательщика. Это осознанный отход от исходного роадмапа, где калькулятор и валидатор стояли только в 2.0 — для трека B они подняты раньше.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0B3D4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v0.5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F2F5"/>
                <w:sz w:val="22"/>
                <w:szCs w:val="22"/>
              </w:rPr>
              <w:t xml:space="preserve">Движок навигатора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FE0A6"/>
                <w:sz w:val="16"/>
                <w:szCs w:val="16"/>
              </w:rPr>
              <w:t xml:space="preserve">✓ ГОТОВО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5D5DD"/>
                <w:sz w:val="16"/>
                <w:szCs w:val="16"/>
              </w:rPr>
              <w:t xml:space="preserve">   Фундамент: база 719, гибридный поиск, навигатор, петля кейсов.</w:t>
            </w:r>
          </w:p>
        </w:tc>
      </w:tr>
    </w:tbl>
    <w:p>
      <w:pPr>
        <w:spacing w:after="10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Функциональные требования</w:t>
      </w:r>
    </w:p>
    <w:tbl>
      <w:tblPr>
        <w:tblW w:type="pct" w:w="100%"/>
        <w:tblBorders>
          <w:top w:val="single" w:color="D9E2E9" w:sz="4"/>
          <w:left w:val="single" w:color="2B6A30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FR-0.5.1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A30"/>
                <w:sz w:val="14"/>
                <w:szCs w:val="14"/>
              </w:rPr>
              <w:t xml:space="preserve">ОБЩЕЕ ЯДРО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пользователь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найти позицию 719 по текстовому описанию продукции или коду ОКПД2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быстро понять, какие требования применимы к моему изделию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Ввод свободным текстом и/или кодом ОКПД2 возвращает топ-N релевантных позиций.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В ответе — раздел, номер позиции, коды, операции, требования, порог.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Точный код ОКПД2 повышает релевантную позицию в выдаче.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recall@1 на приёмочном наборе кейсов не ниже целевого (0.98).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2B6A30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FR-0.5.2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A30"/>
                <w:sz w:val="14"/>
                <w:szCs w:val="14"/>
              </w:rPr>
              <w:t xml:space="preserve">ОБЩЕЕ ЯДРО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пользователь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получить чек-лист документов под найденную позицию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понимать, что готовить для процедуры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Для найденной позиции формируется перечень требуемых документов.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Чек-лист привязан к типу оценки позиции (балльная / процентная).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0B7285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FR-0.5.3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7285"/>
                <w:sz w:val="14"/>
                <w:szCs w:val="14"/>
              </w:rPr>
              <w:t xml:space="preserve">ТРЕК A · ЭКСПЕРТ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эксперт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внести исправление в ответ, которое учтётся в будущих похожих запросах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система со временем становилась точнее без дообучения модели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Эксперт может пометить ответ как неверный и указать корректный.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Исправление сохраняется как верифицированный кейс с приоритетом в поиске.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Похожий последующий запрос учитывает проверенный кейс выше обычной выдачи.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2B6A30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FR-0.5.4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A30"/>
                <w:sz w:val="14"/>
                <w:szCs w:val="14"/>
              </w:rPr>
              <w:t xml:space="preserve">ОБЩЕЕ ЯДРО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пользователь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видеть в каждом ответе пометку о предварительном характере и источник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не принимать ответ AI за окончательный вердикт и мочь его проверить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Каждый ответ содержит дисклеймер «предварительный анализ, вердикт за экспертом».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Ответ показывает источник: раздел и номер позиции 719.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При отсутствии данных в контексте система честно сообщает об этом, а не выдумывает.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0B3D4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v1.0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F2F5"/>
                <w:sz w:val="22"/>
                <w:szCs w:val="22"/>
              </w:rPr>
              <w:t xml:space="preserve">Чат-ассистент + вход плательщика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D98A"/>
                <w:sz w:val="16"/>
                <w:szCs w:val="16"/>
              </w:rPr>
              <w:t xml:space="preserve">🎯 ТЕКУЩАЯ ЦЕЛЬ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5D5DD"/>
                <w:sz w:val="16"/>
                <w:szCs w:val="16"/>
              </w:rPr>
              <w:t xml:space="preserve">   Мультиюзер-чат и роли (трек A) + первый расчётный ответ плательщику (трек B).</w:t>
            </w:r>
          </w:p>
        </w:tc>
      </w:tr>
    </w:tbl>
    <w:p>
      <w:pPr>
        <w:spacing w:after="10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Трек A — эксперт: чат, роли, администрирование</w:t>
      </w:r>
    </w:p>
    <w:tbl>
      <w:tblPr>
        <w:tblW w:type="pct" w:w="100%"/>
        <w:tblBorders>
          <w:top w:val="single" w:color="D9E2E9" w:sz="4"/>
          <w:left w:val="single" w:color="0B7285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FR-1.0.1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7285"/>
                <w:sz w:val="14"/>
                <w:szCs w:val="14"/>
              </w:rPr>
              <w:t xml:space="preserve">ТРЕК A · ЭКСПЕРТ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пользователь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вести диалог с ассистентом в окне чата с историей и экспортом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работать в привычном формате беседы и возвращаться к прошлым ответам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Окно чата с сохранением истории диалогов на пользователя.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Экспорт диалога; стриминг и мультитёрн — допустимо как fast-follow.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История доступна только владельцу учётки.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0B7285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FR-1.0.2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7285"/>
                <w:sz w:val="14"/>
                <w:szCs w:val="14"/>
              </w:rPr>
              <w:t xml:space="preserve">ТРЕК A · ЭКСПЕРТ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администратор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управлять пользователями и ролями (user / expert / admin)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разграничить доступ внутри палаты (до 6 человек, разные устройства)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Три роли с разными правами; создание и деактивация пользователей.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Роль expert имеет доступ к петле обучения; admin — к панели и логам.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Работа с разных устройств через веб без переустановки.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0B7285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FR-1.0.3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7285"/>
                <w:sz w:val="14"/>
                <w:szCs w:val="14"/>
              </w:rPr>
              <w:t xml:space="preserve">ТРЕК A · ЭКСПЕРТ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администратор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видеть логи диалогов и дашборд KPI (запросы, токены, стоимость, активность)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контролировать использование и стоимость эксплуатации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Панель показывает объём запросов, израсходованные токены и стоимость в рублях.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Доступен просмотр логов диалогов и собранного фидбека.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Метрики агрегируются по пользователям и периодам.</w:t>
            </w:r>
          </w:p>
        </w:tc>
      </w:tr>
    </w:tbl>
    <w:p>
      <w:pPr>
        <w:spacing w:after="6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Трек B — плательщик: первый расчётный ответ (Уровень 2 ценности)</w:t>
      </w:r>
    </w:p>
    <w:tbl>
      <w:tblPr>
        <w:tblW w:type="pct" w:w="100%"/>
        <w:tblBorders>
          <w:top w:val="single" w:color="D9E2E9" w:sz="4"/>
          <w:left w:val="single" w:color="96690B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FR-1.0.4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4"/>
                <w:szCs w:val="14"/>
              </w:rPr>
              <w:t xml:space="preserve">ТРЕК B · ПЛАТЕЛЬЩИК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производитель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ввести состав технологических операций и комплектующих моего изделия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получить оценку на основе моих реальных данных, а не общих требований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Форма профиля изделия: наименование, ОКПД2, перечень операций в РФ, комплектующие и их происхождение.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Профиль сохраняется и доступен для повторного расчёта.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Ввод сопоставляется с требованиями найденной позиции 719.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96690B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FR-1.0.5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4"/>
                <w:szCs w:val="14"/>
              </w:rPr>
              <w:t xml:space="preserve">ТРЕК B · ПЛАТЕЛЬЩИК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производитель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увидеть, сколько баллов набирает моё изделие и хватает ли до порога текущего года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понять главное — пройду я или получу отказ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Система считает сумму баллов по заявленным операциям для позиции.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Показывается порог, действующий в текущем году, и явно указывается год.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Явно отображается разрыв: «не хватает N баллов до порога».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Расчёт сопровождается дисклеймером о предварительном характере.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0B3D4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v1.5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F2F5"/>
                <w:sz w:val="22"/>
                <w:szCs w:val="22"/>
              </w:rPr>
              <w:t xml:space="preserve">Советник по добору + процедурные вопросы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D5DD"/>
                <w:sz w:val="16"/>
                <w:szCs w:val="16"/>
              </w:rPr>
              <w:t xml:space="preserve">⏳ СЛЕДУЮЩАЯ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5D5DD"/>
                <w:sz w:val="16"/>
                <w:szCs w:val="16"/>
              </w:rPr>
              <w:t xml:space="preserve">   Подсказки по добору баллов (трек B, Уровень 3) + процедурный слой (общее).</w:t>
            </w:r>
          </w:p>
        </w:tc>
      </w:tr>
    </w:tbl>
    <w:p>
      <w:pPr>
        <w:spacing w:after="10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Трек B — плательщик: ядро ценности</w:t>
      </w:r>
    </w:p>
    <w:tbl>
      <w:tblPr>
        <w:tblW w:type="pct" w:w="100%"/>
        <w:tblBorders>
          <w:top w:val="single" w:color="D9E2E9" w:sz="4"/>
          <w:left w:val="single" w:color="96690B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FR-1.5.1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4"/>
                <w:szCs w:val="14"/>
              </w:rPr>
              <w:t xml:space="preserve">ТРЕК B · ПЛАТЕЛЬЩИК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производитель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при недоборе баллов получить конкретные варианты, как добрать до порога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понимать не только «не хватает», но и «что именно изменить»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При разрыве система предлагает 2–3 конкретных хода: какую операцию локализовать в РФ или какой компонент заменить.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Каждый вариант показывает, сколько баллов он добавляет и закрывает ли разрыв.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Предложения опираются на операции и баллы из приложения к 719 для данной позиции.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Явная оговорка, что финальную достижимость подтверждает эксперт ТПП.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96690B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FR-1.5.2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4"/>
                <w:szCs w:val="14"/>
              </w:rPr>
              <w:t xml:space="preserve">ТРЕК B · ПЛАТЕЛЬЩИК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консультант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заменить импортный компонент на российский аналог из реестра и увидеть эффект на баллы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быстро прорабатывать сценарии локализации для клиента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Возможность пометить компонент как заменяемый на российский аналог.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Пересчёт баллов при замене; отображение нового разрыва.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Подсказка ссылается на факт наличия аналога в реестре, где это применимо.</w:t>
            </w:r>
          </w:p>
        </w:tc>
      </w:tr>
    </w:tbl>
    <w:p>
      <w:pPr>
        <w:spacing w:after="6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Общее ядро — процедурный слой</w:t>
      </w:r>
    </w:p>
    <w:tbl>
      <w:tblPr>
        <w:tblW w:type="pct" w:w="100%"/>
        <w:tblBorders>
          <w:top w:val="single" w:color="D9E2E9" w:sz="4"/>
          <w:left w:val="single" w:color="2B6A30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FR-1.5.3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A30"/>
                <w:sz w:val="14"/>
                <w:szCs w:val="14"/>
              </w:rPr>
              <w:t xml:space="preserve">ОБЩЕЕ ЯДРО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пользователь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получать ответы на процедурные вопросы по Правилам формирования реестра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понимать не только требования к продукции, но и порядок прохождения процедуры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Ассистент отвечает на вопросы по Правилам формирования и ведения реестра и телу постановления.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Процедурные ответы отделены от навигации по позициям и так же снабжены источником.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Разграничение акта экспертизы и сертификата СТ-1 объясняется корректно (что для чего).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0B3D4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v2.0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F2F5"/>
                <w:sz w:val="22"/>
                <w:szCs w:val="22"/>
              </w:rPr>
              <w:t xml:space="preserve">Пред-проверка пакета + углублённый калькулятор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D5DD"/>
                <w:sz w:val="16"/>
                <w:szCs w:val="16"/>
              </w:rPr>
              <w:t xml:space="preserve">⏳ ПЛАНИРУЕТСЯ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5D5DD"/>
                <w:sz w:val="16"/>
                <w:szCs w:val="16"/>
              </w:rPr>
              <w:t xml:space="preserve">   Убийца отказов (трек B, Уровень 4) + инструменты эксперта на проверке.</w:t>
            </w:r>
          </w:p>
        </w:tc>
      </w:tr>
    </w:tbl>
    <w:p>
      <w:pPr>
        <w:spacing w:after="10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Трек B — плательщик: снятие страха отказа</w:t>
      </w:r>
    </w:p>
    <w:tbl>
      <w:tblPr>
        <w:tblW w:type="pct" w:w="100%"/>
        <w:tblBorders>
          <w:top w:val="single" w:color="D9E2E9" w:sz="4"/>
          <w:left w:val="single" w:color="96690B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FR-2.0.1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4"/>
                <w:szCs w:val="14"/>
              </w:rPr>
              <w:t xml:space="preserve">ТРЕК B · ПЛАТЕЛЬЩИК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производитель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прогнать мой пакет документов на комплектность до подачи в ТПП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не получить разворот заявки после недель ожидания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Система сверяет собранный пакет с требуемым перечнем для позиции и типа документа.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Подсвечиваются недостающие или потенциально проблемные документы (например, неполнота конструкторской документации).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Формируется список «здесь вероятен разворот» с пояснением причины.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Результат — предварительная проверка, а не гарантия; оговорка присутствует.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96690B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FR-2.0.2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4"/>
                <w:szCs w:val="14"/>
              </w:rPr>
              <w:t xml:space="preserve">ТРЕК B · ПЛАТЕЛЬЩИК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производитель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получить предупреждение о типовых причинах отказа применительно к моему случаю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заранее закрыть слабые места заявки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Проверка на частые основания отказа: неполный пакет, недобор баллов, несоответствие факта и документов, неверный тип документа.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Каждое предупреждение сопровождается ссылкой на соответствующее требование.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96690B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FR-2.0.3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4"/>
                <w:szCs w:val="14"/>
              </w:rPr>
              <w:t xml:space="preserve">ТРЕК B · ПЛАТЕЛЬЩИК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консультант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получить предварительный вердикт «готово / не готово к подаче» по изделию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быстро отсеивать заявки, которые точно развернут, и не тратить время клиента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Сводный статус готовности на основе баллов и комплектности пакета.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Статус детализируется по блокам: баллы, документы, тип документа.</w:t>
            </w:r>
          </w:p>
        </w:tc>
      </w:tr>
    </w:tbl>
    <w:p>
      <w:pPr>
        <w:spacing w:after="6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0B7285"/>
          <w:sz w:val="19"/>
          <w:szCs w:val="19"/>
        </w:rPr>
        <w:t xml:space="preserve">Трек A — эксперт: инструменты на проверке</w:t>
      </w:r>
    </w:p>
    <w:tbl>
      <w:tblPr>
        <w:tblW w:type="pct" w:w="100%"/>
        <w:tblBorders>
          <w:top w:val="single" w:color="D9E2E9" w:sz="4"/>
          <w:left w:val="single" w:color="0B7285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FR-2.0.4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7285"/>
                <w:sz w:val="14"/>
                <w:szCs w:val="14"/>
              </w:rPr>
              <w:t xml:space="preserve">ТРЕК A · ЭКСПЕРТ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эксперт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видеть расчёт баллов заявителя рядом с требованиями позиции при рассмотрении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быстрее проверять заявки и опираться на структурированные данные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Эксперт видит заявленные операции, баллы и разрыв в едином представлении.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Расхождения между заявленным и требуемым подсвечены.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Правки эксперта по-прежнему уходят в петлю обучения.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0B3D4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v3.0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F2F5"/>
                <w:sz w:val="22"/>
                <w:szCs w:val="22"/>
              </w:rPr>
              <w:t xml:space="preserve">Генератор черновиков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D5DD"/>
                <w:sz w:val="16"/>
                <w:szCs w:val="16"/>
              </w:rPr>
              <w:t xml:space="preserve">⏳ ПЛАНИРУЕТСЯ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5D5DD"/>
                <w:sz w:val="16"/>
                <w:szCs w:val="16"/>
              </w:rPr>
              <w:t xml:space="preserve">   Экономия человеко-часов (Уровень 5): проекты актов и сопроводительных документов.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9E2E9" w:sz="4"/>
          <w:left w:val="single" w:color="0B7285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FR-3.0.1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7285"/>
                <w:sz w:val="14"/>
                <w:szCs w:val="14"/>
              </w:rPr>
              <w:t xml:space="preserve">ТРЕК A · ЭКСПЕРТ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эксперт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получить черновик акта экспертизы на основе данных заявки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не собирать документ с нуля вручную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Генерируется проект акта по шаблону с подстановкой данных позиции и расчёта баллов.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Черновик помечен как проект без подписи и печати; финализация — за экспертом.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Шаблон соответствует актуальной редакции требований.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96690B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FR-3.0.2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4"/>
                <w:szCs w:val="14"/>
              </w:rPr>
              <w:t xml:space="preserve">ТРЕК B · ПЛАТЕЛЬЩИК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консультант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получить черновики сопроводительных документов (справки, калькуляции баллов)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ускорить подготовку пакета для клиента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Генерация калькуляции баллов и типовых справок по данным профиля изделия.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Документы выгружаются в редактируемом формате.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Каждый черновик содержит оговорку о необходимости проверки.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96690B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FR-3.0.3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4"/>
                <w:szCs w:val="14"/>
              </w:rPr>
              <w:t xml:space="preserve">ТРЕК B · ПЛАТЕЛЬЩИК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производитель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получить сопроводительное описание, которое снижает риск вопросов от ТПП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подать заявку максимально «чисто»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Черновик поясняет выполненные в РФ операции и обоснование баллов.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Текст структурирован под ожидания проверки, но не гарантирует результата.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0B3D4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v4.0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F2F5"/>
                <w:sz w:val="22"/>
                <w:szCs w:val="22"/>
              </w:rPr>
              <w:t xml:space="preserve">Масштабирование и мониторинг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D5DD"/>
                <w:sz w:val="16"/>
                <w:szCs w:val="16"/>
              </w:rPr>
              <w:t xml:space="preserve">○ ГОРИЗОНТ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5D5DD"/>
                <w:sz w:val="16"/>
                <w:szCs w:val="16"/>
              </w:rPr>
              <w:t xml:space="preserve">   Тиражирование на палаты и удержание актуальности как сервис.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9E2E9" w:sz="4"/>
          <w:left w:val="single" w:color="2B6A30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FR-4.0.1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A30"/>
                <w:sz w:val="14"/>
                <w:szCs w:val="14"/>
              </w:rPr>
              <w:t xml:space="preserve">ОБЩЕЕ ЯДРО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администратор палаты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развернуть продукт в своей ТПП с изоляцией данных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тиражировать решение от палаты к палате без смешения данных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Мультипалатный режим с изоляцией данных и кейсов между палатами.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Общая база 719 обновляется централизованно; кейсы петли — локальны для палаты.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Роль администратора палаты управляет своими пользователями.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96690B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FR-4.0.2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4"/>
                <w:szCs w:val="14"/>
              </w:rPr>
              <w:t xml:space="preserve">ТРЕК B · ПЛАТЕЛЬЩИК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производитель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получать уведомление, когда изменение 719 затрагивает мою ранее проверенную продукцию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не выпасть из реестра из-за роста порога или новой редакции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При изменении редакции или порога система отмечает затронутые профили изделий.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Пользователь получает уведомление с сутью изменения и новым разрывом, если он возник.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Уведомление не является юридическим требованием, а сигналом для перепроверки.</w:t>
            </w:r>
          </w:p>
        </w:tc>
      </w:tr>
    </w:tbl>
    <w:tbl>
      <w:tblPr>
        <w:tblW w:type="pct" w:w="100%"/>
        <w:tblBorders>
          <w:top w:val="single" w:color="D9E2E9" w:sz="4"/>
          <w:left w:val="single" w:color="2B6A30" w:sz="20"/>
          <w:bottom w:val="single" w:color="D9E2E9" w:sz="4"/>
          <w:right w:val="single" w:color="D9E2E9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9"/>
                <w:szCs w:val="19"/>
              </w:rPr>
              <w:t xml:space="preserve">FR-4.0.3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A30"/>
                <w:sz w:val="14"/>
                <w:szCs w:val="14"/>
              </w:rPr>
              <w:t xml:space="preserve">ОБЩЕЕ ЯДРО</w:t>
            </w:r>
          </w:p>
          <w:p>
            <w:pPr>
              <w:spacing w:after="6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Как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администратор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я хочу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видеть, насколько база актуальна относительно последней редакции 719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3"/>
                <w:sz w:val="18"/>
                <w:szCs w:val="18"/>
              </w:rPr>
              <w:t xml:space="preserve">, чтобы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доверять расчётам и вовремя инициировать обновление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4F"/>
                <w:sz w:val="15"/>
                <w:szCs w:val="15"/>
              </w:rPr>
              <w:t xml:space="preserve">Критерии приёмки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Панель показывает текущую редакцию базы и дату последней сверки с постановлением.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Индикатор расхождения, если вышла новая редакция, ещё не загруженная в базу.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3D4F"/>
          <w:sz w:val="30"/>
          <w:szCs w:val="30"/>
        </w:rPr>
        <w:t xml:space="preserve">7. Сводная матрица версий и приоритеты</w:t>
      </w:r>
    </w:p>
    <w:p>
      <w:pPr>
        <w:pStyle w:val="Heading2"/>
        <w:pBdr>
          <w:bottom w:val="single" w:color="D5DEE6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B3D4F"/>
          <w:sz w:val="24"/>
          <w:szCs w:val="24"/>
        </w:rPr>
        <w:t xml:space="preserve">7.1. Матрица: версия × трек × уровень ценности</w:t>
      </w:r>
    </w:p>
    <w:tbl>
      <w:tblPr>
        <w:tblW w:type="dxa" w:w="9600"/>
        <w:tblBorders>
          <w:top w:val="single" w:color="D5DEE6" w:sz="2"/>
          <w:left w:val="single" w:color="D5DEE6" w:sz="2"/>
          <w:bottom w:val="single" w:color="D5DEE6" w:sz="2"/>
          <w:right w:val="single" w:color="D5DEE6" w:sz="2"/>
          <w:insideH w:val="single" w:color="E6ECF1" w:sz="2"/>
          <w:insideV w:val="single" w:color="E6ECF1" w:sz="2"/>
        </w:tblBorders>
      </w:tblPr>
      <w:tblGrid>
        <w:gridCol w:w="1100"/>
        <w:gridCol w:w="3400"/>
        <w:gridCol w:w="2200"/>
        <w:gridCol w:w="2900"/>
      </w:tblGrid>
      <w:tr>
        <w:trPr>
          <w:tblHeader/>
        </w:trPr>
        <w:tc>
          <w:tcPr>
            <w:tcW w:type="dxa" w:w="11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34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Ключевой функционал</w:t>
            </w:r>
          </w:p>
        </w:tc>
        <w:tc>
          <w:tcPr>
            <w:tcW w:type="dxa" w:w="22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Трек</w:t>
            </w:r>
          </w:p>
        </w:tc>
        <w:tc>
          <w:tcPr>
            <w:tcW w:type="dxa" w:w="2900"/>
            <w:shd w:fill="0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Уровень ценности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0.5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Навигатор, чек-лист, петля кейсов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Ядро + A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Ур.1 (справочник)</w:t>
            </w:r>
          </w:p>
        </w:tc>
      </w:tr>
      <w:tr>
        <w:tc>
          <w:tcPr>
            <w:tcW w:type="dxa" w:w="11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1.0</w:t>
            </w:r>
          </w:p>
        </w:tc>
        <w:tc>
          <w:tcPr>
            <w:tcW w:type="dxa" w:w="3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Чат/роли/админка + расчёт баллов с разрывом</w:t>
            </w:r>
          </w:p>
        </w:tc>
        <w:tc>
          <w:tcPr>
            <w:tcW w:type="dxa" w:w="22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17"/>
                <w:szCs w:val="17"/>
              </w:rPr>
              <w:t xml:space="preserve">A + B</w:t>
            </w:r>
          </w:p>
        </w:tc>
        <w:tc>
          <w:tcPr>
            <w:tcW w:type="dxa" w:w="29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A30"/>
                <w:sz w:val="17"/>
                <w:szCs w:val="17"/>
              </w:rPr>
              <w:t xml:space="preserve">Ур.2 (порог оплаты)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1.5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Подсказки по добору + процедурный слой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B + ядро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A30"/>
                <w:sz w:val="17"/>
                <w:szCs w:val="17"/>
              </w:rPr>
              <w:t xml:space="preserve">Ур.3 (ядро ценности)</w:t>
            </w:r>
          </w:p>
        </w:tc>
      </w:tr>
      <w:tr>
        <w:tc>
          <w:tcPr>
            <w:tcW w:type="dxa" w:w="11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2.0</w:t>
            </w:r>
          </w:p>
        </w:tc>
        <w:tc>
          <w:tcPr>
            <w:tcW w:type="dxa" w:w="3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Пред-проверка пакета + инструменты эксперта</w:t>
            </w:r>
          </w:p>
        </w:tc>
        <w:tc>
          <w:tcPr>
            <w:tcW w:type="dxa" w:w="22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B + A</w:t>
            </w:r>
          </w:p>
        </w:tc>
        <w:tc>
          <w:tcPr>
            <w:tcW w:type="dxa" w:w="29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Ур.4 (убийца отказов)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3.0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Генерация черновиков актов и справок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A + B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Ур.5 (экономия часов)</w:t>
            </w:r>
          </w:p>
        </w:tc>
      </w:tr>
      <w:tr>
        <w:tc>
          <w:tcPr>
            <w:tcW w:type="dxa" w:w="11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4.0</w:t>
            </w:r>
          </w:p>
        </w:tc>
        <w:tc>
          <w:tcPr>
            <w:tcW w:type="dxa" w:w="34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Мультипалатность, мониторинг изменений</w:t>
            </w:r>
          </w:p>
        </w:tc>
        <w:tc>
          <w:tcPr>
            <w:tcW w:type="dxa" w:w="22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Ядро</w:t>
            </w:r>
          </w:p>
        </w:tc>
        <w:tc>
          <w:tcPr>
            <w:tcW w:type="dxa" w:w="2900"/>
            <w:shd w:fill="F6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Удержание/масштаб</w:t>
            </w:r>
          </w:p>
        </w:tc>
      </w:tr>
    </w:tbl>
    <w:p>
      <w:pPr>
        <w:pStyle w:val="Heading2"/>
        <w:pBdr>
          <w:bottom w:val="single" w:color="D5DEE6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B3D4F"/>
          <w:sz w:val="24"/>
          <w:szCs w:val="24"/>
        </w:rPr>
        <w:t xml:space="preserve">7.2. Рекомендации по приоритету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18"/>
          <w:szCs w:val="18"/>
        </w:rPr>
        <w:t xml:space="preserve">Актуализация — раньше функций.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18"/>
          <w:szCs w:val="18"/>
        </w:rPr>
        <w:t xml:space="preserve">Версионирование базы и дата актуальности в ответе должны появиться уже на уровне ядра: калькулятор по прошлогоднему порогу опаснее отсутствия калькулятора.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18"/>
          <w:szCs w:val="18"/>
        </w:rPr>
        <w:t xml:space="preserve">Калькулятор с разрывом — вход к оплате.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18"/>
          <w:szCs w:val="18"/>
        </w:rPr>
        <w:t xml:space="preserve">Это минимальный билет, с которого плательщик готов платить. В v1.0 он важнее, чем богатая чат-обвязка; при ограниченных ресурсах стриминг и мультитёрн можно отложить, а расчёт — нет.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18"/>
          <w:szCs w:val="18"/>
        </w:rPr>
        <w:t xml:space="preserve">Подсказки по добору — главный дифференциатор для 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18"/>
          <w:szCs w:val="18"/>
        </w:rPr>
        <w:t xml:space="preserve">Именно за уровень 3 консультанты платят вручную. Это первое, что стоит проверять на кастдеве с плательщиками.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18"/>
          <w:szCs w:val="18"/>
        </w:rPr>
        <w:t xml:space="preserve">Экспертный трек — вход и доверие.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18"/>
          <w:szCs w:val="18"/>
        </w:rPr>
        <w:t xml:space="preserve">Петля обучения и статус Курской ТПП дают пилот и накопление кейсов; не сворачивать трек A, но не делать его единственным.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18"/>
          <w:szCs w:val="18"/>
        </w:rPr>
        <w:t xml:space="preserve">Дисклеймер усиливать с ростом версий.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18"/>
          <w:szCs w:val="18"/>
        </w:rPr>
        <w:t xml:space="preserve">Чем ближе продукт к «предсказанию прохождения», тем жёстче должна звучать оговорка о финальном слове ТПП — это и защита, и отличие от безответственного автомата.</w:t>
      </w:r>
    </w:p>
    <w:p>
      <w:pPr>
        <w:spacing w:after="120"/>
      </w:pPr>
    </w:p>
    <w:tbl>
      <w:tblPr>
        <w:tblW w:type="pct" w:w="100%"/>
        <w:tblBorders>
          <w:top w:val="none"/>
          <w:left w:val="single" w:color="96690B" w:sz="24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FDF3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6690B"/>
                <w:sz w:val="20"/>
                <w:szCs w:val="20"/>
              </w:rPr>
              <w:t xml:space="preserve">Что проверить до постройки трека B.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Вся логика плательщика — гипотеза, пусть и обоснованная рынком. Прежде чем вкладываться в калькулятор и пред-проверку, стоит провести кастдев с 3–5 производителями и консультантами: подтвердить, что они платят именно за «пройду/добор/не развернут», и уточнить, в каком виде им это нужно. Это дешевле, чем построить не тот модуль.</w:t>
            </w:r>
          </w:p>
        </w:tc>
      </w:tr>
    </w:tbl>
    <w:p>
      <w:pPr>
        <w:spacing w:after="160"/>
      </w:pPr>
    </w:p>
    <w:p>
      <w:pPr>
        <w:pBdr>
          <w:top w:val="single" w:color="D5DEE6" w:sz="6"/>
        </w:pBdr>
        <w:spacing w:after="4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0B3D4F"/>
          <w:sz w:val="16"/>
          <w:szCs w:val="16"/>
        </w:rPr>
        <w:t xml:space="preserve">Источники и оговорка</w:t>
      </w:r>
    </w:p>
    <w:p>
      <w:pPr>
        <w:spacing w:after="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A94A0"/>
          <w:sz w:val="15"/>
          <w:szCs w:val="15"/>
        </w:rPr>
        <w:t xml:space="preserve">Документ основан на README продукта (v0.5) и самостоятельном анализе открытых источников: ГИСП, ТПП РФ и уполномоченные палаты, «Цифровые Закупки», «Система Госзаказ», Контур, коммерческие консультанты (reestr-719, corestone, altacert, trts24, vnesenie-v-reestr), редакции ПП 719. Приоритеты, разметка треков и функциональные требования — авторская интерпретация под задачу, а не заказная экспертиза и не юридическое заключение.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4A0"/>
        <w:sz w:val="15"/>
        <w:szCs w:val="15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A94A0"/>
        <w:sz w:val="15"/>
        <w:szCs w:val="15"/>
      </w:rPr>
      <w:t xml:space="preserve">Навигатор ПП РФ №719 — концепция и функциональные требования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color w:val="0B7285"/>
      </w:rPr>
    </w:lvl>
    <w:lvl w:ilvl="1" w15:tentative="1">
      <w:start w:val="1"/>
      <w:numFmt w:val="bullet"/>
      <w:lvlText w:val="–"/>
      <w:lvlJc w:val="left"/>
      <w:pPr>
        <w:ind w:left="680" w:hanging="220"/>
      </w:pPr>
      <w:rPr>
        <w:color w:val="0B728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20" w:hanging="220"/>
      </w:pPr>
      <w:rPr>
        <w:color w:val="2B6A3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Навигатор ПП 719 — анализ концепции и функциональные требования</dc:title>
  <dc:creator>Аналитика продукта</dc:creator>
  <cp:lastModifiedBy>Un-named</cp:lastModifiedBy>
  <cp:revision>1</cp:revision>
  <dcterms:created xsi:type="dcterms:W3CDTF">2026-07-03T10:40:06.908Z</dcterms:created>
  <dcterms:modified xsi:type="dcterms:W3CDTF">2026-07-03T10:40:06.909Z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