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超越集团投资项目备案管理系统需求定义书 副本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3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引言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项目背景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超越集团战略部承担着集团及各领域/产业的股权投资项目、法人新设事项的统筹上会管理职责。在实际集团投决上会运营中，存在一些无需提交集团投决会正式上会审议，仅需向战略部备案的业务场景：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股权投资类备案</w:t>
      </w:r>
      <w:r>
        <w:rPr>
          <w:rFonts w:eastAsia="等线" w:ascii="Arial" w:cs="Arial" w:hAnsi="Arial"/>
          <w:sz w:val="22"/>
        </w:rPr>
        <w:t>：包括直投项目（并购/参股）和基金投项目的投资和退出、新设基金类、对赌目标变更；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法人新设类备案</w:t>
      </w:r>
      <w:r>
        <w:rPr>
          <w:rFonts w:eastAsia="等线" w:ascii="Arial" w:cs="Arial" w:hAnsi="Arial"/>
          <w:sz w:val="22"/>
        </w:rPr>
        <w:t>：领域/产业新设法人（公司）的注册，若经研判风险可控，无需上会，仅需备案。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其他不在暂投资管理规范管辖范畴的项目备案：如增资类、内部交易类、法人实缴等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目前上述备案均通过线下邮件或纸质流转，存在效率低下、信息分散、无法与核心系统（战投系统、法务系统）联动等问题。为提升管理效率、实现数据闭环，亟需构建一套线上化的</w:t>
      </w:r>
      <w:r>
        <w:rPr>
          <w:rFonts w:eastAsia="等线" w:ascii="Arial" w:cs="Arial" w:hAnsi="Arial"/>
          <w:b w:val="true"/>
          <w:sz w:val="22"/>
        </w:rPr>
        <w:t>集团投决备案管理系统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项目目标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建立统一的备案业务线上处理平台，覆盖股权投资备案、法人新设备案及其他潜在备案场景。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实现备案信息的结构化采集、审批流程自动化、审批结果与外围系统联动。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提供灵活的配置能力，支持战略部业务人员（管理员）自定义备案子场景、表单模板及审批节点，适应未来业务变化。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通过集成飞书待办及邮件通知，提升审批流转效率。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适用范围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本系统服务于超越集团战略部、各领域/产业投资及法务相关用户。涉及的业务范围包括：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直投项目（并购/参股）备案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基金投项目备案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基金主体备案（待明确）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法人新设/注销/变更备案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其他业务备案（预留扩展）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1.4 术语表</w:t>
      </w:r>
      <w:bookmarkEnd w:id="4"/>
    </w:p>
    <w:p>
      <w:pPr>
        <w:spacing w:before="120" w:after="120" w:line="288" w:lineRule="auto"/>
        <w:ind w:left="0"/>
      </w:pPr>
      <w:r>
        <w:object>
          <v:shape id="_x0000_i1026" style="width:414pt;height:141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总体需求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业务范围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系统需支持以下三大类备案业务：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股权投资备案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直投项目备案（</w:t>
      </w:r>
      <w:r>
        <w:rPr>
          <w:rFonts w:eastAsia="等线" w:ascii="Arial" w:cs="Arial" w:hAnsi="Arial"/>
          <w:sz w:val="22"/>
        </w:rPr>
        <w:t>投资、退出、</w:t>
      </w:r>
      <w:r>
        <w:rPr>
          <w:rFonts w:eastAsia="等线" w:ascii="Arial" w:cs="Arial" w:hAnsi="Arial"/>
          <w:sz w:val="22"/>
        </w:rPr>
        <w:t>对赌目标变更</w:t>
      </w:r>
      <w:r>
        <w:rPr>
          <w:rFonts w:eastAsia="等线" w:ascii="Arial" w:cs="Arial" w:hAnsi="Arial"/>
          <w:sz w:val="22"/>
        </w:rPr>
        <w:t>等投资要素变更事项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基金投项目备案（、</w:t>
      </w:r>
      <w:r>
        <w:rPr>
          <w:rFonts w:eastAsia="等线" w:ascii="Arial" w:cs="Arial" w:hAnsi="Arial"/>
          <w:sz w:val="22"/>
        </w:rPr>
        <w:t>投资、退出、</w:t>
      </w:r>
      <w:r>
        <w:rPr>
          <w:rFonts w:eastAsia="等线" w:ascii="Arial" w:cs="Arial" w:hAnsi="Arial"/>
          <w:sz w:val="22"/>
        </w:rPr>
        <w:t>对赌目标变更</w:t>
      </w:r>
      <w:r>
        <w:rPr>
          <w:rFonts w:eastAsia="等线" w:ascii="Arial" w:cs="Arial" w:hAnsi="Arial"/>
          <w:sz w:val="22"/>
        </w:rPr>
        <w:t>等投资要素变更事项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基金备案（业务场景待定</w:t>
      </w:r>
      <w:r>
        <w:rPr>
          <w:rFonts w:eastAsia="等线" w:ascii="Arial" w:cs="Arial" w:hAnsi="Arial"/>
          <w:sz w:val="22"/>
        </w:rPr>
        <w:t>（如新设基金、基金Call款）</w:t>
      </w:r>
      <w:r>
        <w:rPr>
          <w:rFonts w:eastAsia="等线" w:ascii="Arial" w:cs="Arial" w:hAnsi="Arial"/>
          <w:sz w:val="22"/>
        </w:rPr>
        <w:t>，先预留菜单和接口）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法人新设类备案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法人信息备案（</w:t>
      </w:r>
      <w:r>
        <w:rPr>
          <w:rFonts w:eastAsia="等线" w:ascii="Arial" w:cs="Arial" w:hAnsi="Arial"/>
          <w:sz w:val="22"/>
        </w:rPr>
        <w:t>目前主要为</w:t>
      </w:r>
      <w:r>
        <w:rPr>
          <w:rFonts w:eastAsia="等线" w:ascii="Arial" w:cs="Arial" w:hAnsi="Arial"/>
          <w:sz w:val="22"/>
        </w:rPr>
        <w:t>新设</w:t>
      </w:r>
      <w:r>
        <w:rPr>
          <w:rFonts w:eastAsia="等线" w:ascii="Arial" w:cs="Arial" w:hAnsi="Arial"/>
          <w:sz w:val="22"/>
        </w:rPr>
        <w:t>，根据法人管理规范研判是否需要增加注销及投资要素变更事项备案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其他业务备案</w:t>
      </w:r>
      <w:r>
        <w:rPr>
          <w:rFonts w:eastAsia="等线" w:ascii="Arial" w:cs="Arial" w:hAnsi="Arial"/>
          <w:sz w:val="22"/>
        </w:rPr>
        <w:t>（预留扩展</w:t>
      </w:r>
      <w:r>
        <w:rPr>
          <w:rFonts w:eastAsia="等线" w:ascii="Arial" w:cs="Arial" w:hAnsi="Arial"/>
          <w:sz w:val="22"/>
        </w:rPr>
        <w:t>，如增资、内部交易、法人实缴-法人实缴也可以在法人类进行处理</w:t>
      </w:r>
      <w:r>
        <w:rPr>
          <w:rFonts w:eastAsia="等线" w:ascii="Arial" w:cs="Arial" w:hAnsi="Arial"/>
          <w:sz w:val="22"/>
        </w:rPr>
        <w:t>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用户角色-建议增加一个查看角色，只使用系统查看备案项目</w:t>
      </w:r>
      <w:bookmarkEnd w:id="7"/>
    </w:p>
    <w:p>
      <w:pPr>
        <w:spacing w:before="120" w:after="120" w:line="288" w:lineRule="auto"/>
        <w:ind w:left="0"/>
      </w:pPr>
      <w:r>
        <w:object>
          <v:shape id="_x0000_i1027" style="width:414pt;height:153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 系统架构</w:t>
      </w:r>
      <w:bookmarkEnd w:id="8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技术栈：Java + MySQL，前后端分离。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部署：超越集团内部私有云。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集成关系：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投资系统</w:t>
      </w:r>
      <w:r>
        <w:rPr>
          <w:rFonts w:eastAsia="等线" w:ascii="Arial" w:cs="Arial" w:hAnsi="Arial"/>
          <w:sz w:val="22"/>
        </w:rPr>
        <w:t>：提供项目基础信息（项目名称、项目ID），接收投资、退出及对赌目标变更等结果信息。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法务系统</w:t>
      </w:r>
      <w:r>
        <w:rPr>
          <w:rFonts w:eastAsia="等线" w:ascii="Arial" w:cs="Arial" w:hAnsi="Arial"/>
          <w:sz w:val="22"/>
        </w:rPr>
        <w:t>：提供法人基础信息（法人名称</w:t>
      </w:r>
      <w:r>
        <w:rPr>
          <w:rFonts w:eastAsia="等线" w:ascii="Arial" w:cs="Arial" w:hAnsi="Arial"/>
          <w:sz w:val="22"/>
        </w:rPr>
        <w:t>、注册资本等</w:t>
      </w:r>
      <w:r>
        <w:rPr>
          <w:rFonts w:eastAsia="等线" w:ascii="Arial" w:cs="Arial" w:hAnsi="Arial"/>
          <w:sz w:val="22"/>
        </w:rPr>
        <w:t>），接收法人备案结果。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飞书平台</w:t>
      </w:r>
      <w:r>
        <w:rPr>
          <w:rFonts w:eastAsia="等线" w:ascii="Arial" w:cs="Arial" w:hAnsi="Arial"/>
          <w:sz w:val="22"/>
        </w:rPr>
        <w:t>：推送待办任务和邮件通知。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2.4 核心能力概览</w:t>
      </w:r>
      <w:bookmarkEnd w:id="9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多场景备案</w:t>
      </w:r>
      <w:r>
        <w:rPr>
          <w:rFonts w:eastAsia="等线" w:ascii="Arial" w:cs="Arial" w:hAnsi="Arial"/>
          <w:sz w:val="22"/>
        </w:rPr>
        <w:t>：支持按业务类型（直投、基金投、基金、法人、其他）及子场景发起备案。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动态表单配置</w:t>
      </w:r>
      <w:r>
        <w:rPr>
          <w:rFonts w:eastAsia="等线" w:ascii="Arial" w:cs="Arial" w:hAnsi="Arial"/>
          <w:sz w:val="22"/>
        </w:rPr>
        <w:t>：管理员可自定义每个子场景的备案表单字段（包括必填项、类型、选项等）。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可配置审批流</w:t>
      </w:r>
      <w:r>
        <w:rPr>
          <w:rFonts w:eastAsia="等线" w:ascii="Arial" w:cs="Arial" w:hAnsi="Arial"/>
          <w:sz w:val="22"/>
        </w:rPr>
        <w:t>：支持为每个子场景配置审批节点（发起人直线 + 多级集团审批人），审批人可为用户或角色。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外围系统联动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从战投系统获取项目下拉列表及对赌目标。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向战投系统回传对赌目标变更</w:t>
      </w:r>
      <w:r>
        <w:rPr>
          <w:rFonts w:eastAsia="等线" w:ascii="Arial" w:cs="Arial" w:hAnsi="Arial"/>
          <w:sz w:val="22"/>
        </w:rPr>
        <w:t>等结果</w:t>
      </w:r>
      <w:r>
        <w:rPr>
          <w:rFonts w:eastAsia="等线" w:ascii="Arial" w:cs="Arial" w:hAnsi="Arial"/>
          <w:sz w:val="22"/>
        </w:rPr>
        <w:t>记录。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从法务系统获取法人下拉列表及状态。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向法务系统回传法人备案结果。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待办与通知</w:t>
      </w:r>
      <w:r>
        <w:rPr>
          <w:rFonts w:eastAsia="等线" w:ascii="Arial" w:cs="Arial" w:hAnsi="Arial"/>
          <w:sz w:val="22"/>
        </w:rPr>
        <w:t>：通过飞书推送待办和邮件，提醒相关用户处理。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数据追溯</w:t>
      </w:r>
      <w:r>
        <w:rPr>
          <w:rFonts w:eastAsia="等线" w:ascii="Arial" w:cs="Arial" w:hAnsi="Arial"/>
          <w:sz w:val="22"/>
        </w:rPr>
        <w:t>：所有备案记录永久保存，支持按条件查询、导出</w:t>
      </w:r>
      <w:r>
        <w:rPr>
          <w:rFonts w:eastAsia="等线" w:ascii="Arial" w:cs="Arial" w:hAnsi="Arial"/>
          <w:sz w:val="22"/>
        </w:rPr>
        <w:t>、可视化展示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首页看板</w:t>
      </w:r>
      <w:r>
        <w:rPr>
          <w:rFonts w:eastAsia="等线" w:ascii="Arial" w:cs="Arial" w:hAnsi="Arial"/>
          <w:sz w:val="22"/>
        </w:rPr>
        <w:t>：按照备案业务类别，展示目前已有备案的数量，并且有备案明细报表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功能需求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3.1 备案基础能力</w:t>
      </w:r>
      <w:bookmarkEnd w:id="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3.1.1 备案发起</w:t>
      </w:r>
      <w:bookmarkEnd w:id="12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入口</w:t>
      </w:r>
      <w:r>
        <w:rPr>
          <w:rFonts w:eastAsia="等线" w:ascii="Arial" w:cs="Arial" w:hAnsi="Arial"/>
          <w:sz w:val="22"/>
        </w:rPr>
        <w:t>：用户在系统首页选择“新建备案”，按业务大类（股权投资备案/法人新设备案/其他）进入子场景选择。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场景选择</w:t>
      </w:r>
      <w:r>
        <w:rPr>
          <w:rFonts w:eastAsia="等线" w:ascii="Arial" w:cs="Arial" w:hAnsi="Arial"/>
          <w:sz w:val="22"/>
        </w:rPr>
        <w:t>：二级菜单展示该大类下已启用的所有子场景（如“直投项目</w:t>
      </w:r>
      <w:r>
        <w:rPr>
          <w:rFonts w:eastAsia="等线" w:ascii="Arial" w:cs="Arial" w:hAnsi="Arial"/>
          <w:sz w:val="22"/>
        </w:rPr>
        <w:t>投资</w:t>
      </w:r>
      <w:r>
        <w:rPr>
          <w:rFonts w:eastAsia="等线" w:ascii="Arial" w:cs="Arial" w:hAnsi="Arial"/>
          <w:sz w:val="22"/>
        </w:rPr>
        <w:t>”、“基金投项目退出”等）。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若为股权投资类，需从战投系统获取当前用户有权限的</w:t>
      </w:r>
      <w:r>
        <w:rPr>
          <w:rFonts w:eastAsia="等线" w:ascii="Arial" w:cs="Arial" w:hAnsi="Arial"/>
          <w:b w:val="true"/>
          <w:sz w:val="22"/>
        </w:rPr>
        <w:t>项目列表</w:t>
      </w:r>
      <w:r>
        <w:rPr>
          <w:rFonts w:eastAsia="等线" w:ascii="Arial" w:cs="Arial" w:hAnsi="Arial"/>
          <w:sz w:val="22"/>
        </w:rPr>
        <w:t>（项目名称、项目ID）。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若为法人新设类，需从法务系统获取当前用户有权限的</w:t>
      </w:r>
      <w:r>
        <w:rPr>
          <w:rFonts w:eastAsia="等线" w:ascii="Arial" w:cs="Arial" w:hAnsi="Arial"/>
          <w:b w:val="true"/>
          <w:sz w:val="22"/>
        </w:rPr>
        <w:t>法人列表</w:t>
      </w:r>
      <w:r>
        <w:rPr>
          <w:rFonts w:eastAsia="等线" w:ascii="Arial" w:cs="Arial" w:hAnsi="Arial"/>
          <w:sz w:val="22"/>
        </w:rPr>
        <w:t>（法人名称、四位码、备案状态）。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表单填写</w:t>
      </w:r>
      <w:r>
        <w:rPr>
          <w:rFonts w:eastAsia="等线" w:ascii="Arial" w:cs="Arial" w:hAnsi="Arial"/>
          <w:sz w:val="22"/>
        </w:rPr>
        <w:t>：根据所选子场景动态加载管理员配置的备案表单。必填字段至少包括：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备案时间</w:t>
      </w:r>
      <w:r>
        <w:rPr>
          <w:rFonts w:eastAsia="等线" w:ascii="Arial" w:cs="Arial" w:hAnsi="Arial"/>
          <w:sz w:val="22"/>
        </w:rPr>
        <w:t>（系统当前时间，可修改）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发起人</w:t>
      </w:r>
      <w:r>
        <w:rPr>
          <w:rFonts w:eastAsia="等线" w:ascii="Arial" w:cs="Arial" w:hAnsi="Arial"/>
          <w:sz w:val="22"/>
        </w:rPr>
        <w:t>（自动带出当前用户，不可修改）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业务部门</w:t>
      </w:r>
      <w:r>
        <w:rPr>
          <w:rFonts w:eastAsia="等线" w:ascii="Arial" w:cs="Arial" w:hAnsi="Arial"/>
          <w:sz w:val="22"/>
        </w:rPr>
        <w:t>（领域、产业）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项目/法人名称</w:t>
      </w:r>
      <w:r>
        <w:rPr>
          <w:rFonts w:eastAsia="等线" w:ascii="Arial" w:cs="Arial" w:hAnsi="Arial"/>
          <w:sz w:val="22"/>
        </w:rPr>
        <w:t>（从数据源选择）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涉及金额</w:t>
      </w:r>
      <w:r>
        <w:rPr>
          <w:rFonts w:eastAsia="等线" w:ascii="Arial" w:cs="Arial" w:hAnsi="Arial"/>
          <w:sz w:val="22"/>
        </w:rPr>
        <w:t>（如不涉及可为0）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备案内容描述</w:t>
      </w:r>
      <w:r>
        <w:rPr>
          <w:rFonts w:eastAsia="等线" w:ascii="Arial" w:cs="Arial" w:hAnsi="Arial"/>
          <w:sz w:val="22"/>
        </w:rPr>
        <w:t>（富文本或多行文本，支持图片，表格等）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见证性文档</w:t>
      </w:r>
      <w:r>
        <w:rPr>
          <w:rFonts w:eastAsia="等线" w:ascii="Arial" w:cs="Arial" w:hAnsi="Arial"/>
          <w:sz w:val="22"/>
        </w:rPr>
        <w:t>（附件上传，支持常见格式：pdf、doc、docx、xls、xlsx、jpg、png，支持多文件）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保存草稿</w:t>
      </w:r>
      <w:r>
        <w:rPr>
          <w:rFonts w:eastAsia="等线" w:ascii="Arial" w:cs="Arial" w:hAnsi="Arial"/>
          <w:sz w:val="22"/>
        </w:rPr>
        <w:t>：支持保存为草稿，后续可从“我的草稿”继续编辑提交。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3.1.2 审批流程</w:t>
      </w:r>
      <w:bookmarkEnd w:id="13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流程定义</w:t>
      </w:r>
      <w:r>
        <w:rPr>
          <w:rFonts w:eastAsia="等线" w:ascii="Arial" w:cs="Arial" w:hAnsi="Arial"/>
          <w:sz w:val="22"/>
        </w:rPr>
        <w:t>：管理员为每个子场景配置审批节点序列。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固定节点</w:t>
      </w:r>
      <w:r>
        <w:rPr>
          <w:rFonts w:eastAsia="等线" w:ascii="Arial" w:cs="Arial" w:hAnsi="Arial"/>
          <w:sz w:val="22"/>
        </w:rPr>
        <w:t>：发起人直线（根据发起人组织架构自动匹配）。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可选节点</w:t>
      </w:r>
      <w:r>
        <w:rPr>
          <w:rFonts w:eastAsia="等线" w:ascii="Arial" w:cs="Arial" w:hAnsi="Arial"/>
          <w:sz w:val="22"/>
        </w:rPr>
        <w:t>：可配置0~N级集团审批人（指定具体用户或角色）。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抄送</w:t>
      </w:r>
      <w:r>
        <w:rPr>
          <w:rFonts w:eastAsia="等线" w:ascii="Arial" w:cs="Arial" w:hAnsi="Arial"/>
          <w:sz w:val="22"/>
        </w:rPr>
        <w:t>：可配置抄送人（可选）。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流程启动</w:t>
      </w:r>
      <w:r>
        <w:rPr>
          <w:rFonts w:eastAsia="等线" w:ascii="Arial" w:cs="Arial" w:hAnsi="Arial"/>
          <w:sz w:val="22"/>
        </w:rPr>
        <w:t>：用户提交后，系统根据配置生成流程实例，向第一个节点审批人推送飞书待办和邮件。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审批操作</w:t>
      </w:r>
      <w:r>
        <w:rPr>
          <w:rFonts w:eastAsia="等线" w:ascii="Arial" w:cs="Arial" w:hAnsi="Arial"/>
          <w:sz w:val="22"/>
        </w:rPr>
        <w:t>：审批人可查看详情、填写审批意见、选择“同意”、“驳回”或“转办”。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驳回可回退到发起人，允许修改后重新提交。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同意则进入下一节点，直至流程结束。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流程超时提醒</w:t>
      </w:r>
      <w:r>
        <w:rPr>
          <w:rFonts w:eastAsia="等线" w:ascii="Arial" w:cs="Arial" w:hAnsi="Arial"/>
          <w:sz w:val="22"/>
        </w:rPr>
        <w:t>：可配置每个节点的超时时间（如48小时），超时自动发送催办邮件给当前审批人。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3.1.3 待办与通知</w:t>
      </w:r>
      <w:bookmarkEnd w:id="14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与飞书平台集成，审批任务到达时向待办人推送待办卡片。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同时向发起人及所有审批节点相关人员发送邮件通知（包含链接可直接跳转至系统处理页）。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流程结束后，向</w:t>
      </w:r>
      <w:r>
        <w:rPr>
          <w:rFonts w:eastAsia="等线" w:ascii="Arial" w:cs="Arial" w:hAnsi="Arial"/>
          <w:sz w:val="22"/>
        </w:rPr>
        <w:t>备案相关人员（含项目负责人、集团平台相关人员等）</w:t>
      </w:r>
      <w:r>
        <w:rPr>
          <w:rFonts w:eastAsia="等线" w:ascii="Arial" w:cs="Arial" w:hAnsi="Arial"/>
          <w:sz w:val="22"/>
        </w:rPr>
        <w:t>发送“备案完成”邮件，内容包含备案摘要及下载链接。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3.1.4 备案查询与导出</w:t>
      </w:r>
      <w:r>
        <w:rPr>
          <w:rFonts w:eastAsia="等线" w:ascii="Arial" w:cs="Arial" w:hAnsi="Arial"/>
          <w:b w:val="true"/>
          <w:sz w:val="28"/>
        </w:rPr>
        <w:t>和可视化展示</w:t>
      </w:r>
      <w:bookmarkEnd w:id="15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提供多维度查询：按领域/产业、备案编号、项目/法人名称、发起人、备案场景、审批状态、备案时间范围等。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支持结果导出为Excel。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详情页展示完整的备案表单、附件、审批流水（含意见）。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支持以图表等形式的可视化展示。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3.2 模块一：直投项目备案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3.2.1 业务说明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适用于超越集团控制的法人主体直接出资的股权投资项目（并购/参股）。项目基础信息通过接口从投资系统同步。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3.2.2 子场景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系统需内置以下子场景（管理员可增删改）：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新项目</w:t>
      </w:r>
      <w:r>
        <w:rPr>
          <w:rFonts w:eastAsia="等线" w:ascii="Arial" w:cs="Arial" w:hAnsi="Arial"/>
          <w:sz w:val="22"/>
        </w:rPr>
        <w:t>投资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退出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项目对赌目标</w:t>
      </w:r>
      <w:r>
        <w:rPr>
          <w:rFonts w:eastAsia="等线" w:ascii="Arial" w:cs="Arial" w:hAnsi="Arial"/>
          <w:sz w:val="22"/>
        </w:rPr>
        <w:t>调整及投资要素变更备案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其他事项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3.2.3 特殊需求</w:t>
      </w:r>
      <w:bookmarkEnd w:id="19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对赌目标联动</w:t>
      </w:r>
      <w:r>
        <w:rPr>
          <w:rFonts w:eastAsia="等线" w:ascii="Arial" w:cs="Arial" w:hAnsi="Arial"/>
          <w:sz w:val="22"/>
        </w:rPr>
        <w:t>：当发起“项目对赌目标变更备案”时，表单中需提供原对赌目标展示（从战投系统获取），并允许用户填写新的对赌目标。审批通过后，系统调用战投系统接口，更新该项目的最新对赌目标。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投退联动</w:t>
      </w:r>
      <w:r>
        <w:rPr>
          <w:rFonts w:eastAsia="等线" w:ascii="Arial" w:cs="Arial" w:hAnsi="Arial"/>
          <w:sz w:val="22"/>
        </w:rPr>
        <w:t>：本阶段先以待办或邮寄通知战投系统中，该项目的负责人。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其他投资要素变更联动</w:t>
      </w:r>
      <w:r>
        <w:rPr>
          <w:rFonts w:eastAsia="等线" w:ascii="Arial" w:cs="Arial" w:hAnsi="Arial"/>
          <w:sz w:val="22"/>
        </w:rPr>
        <w:t>，待定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项目数据集来源</w:t>
      </w:r>
      <w:r>
        <w:rPr>
          <w:rFonts w:eastAsia="等线" w:ascii="Arial" w:cs="Arial" w:hAnsi="Arial"/>
          <w:sz w:val="22"/>
        </w:rPr>
        <w:t>：选择项目时，调用战投系统接口获取项目列表（需携带项目ID、名称等）。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3.3 模块二：基金投项目备案</w:t>
      </w:r>
      <w:bookmarkEnd w:id="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3.3.1 业务说明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适用于超越控制的基金主体出资的股权投资项目。项目基础信息同样从投资系统获取（需区分基金投项目类型）。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3.3.2 子场景</w:t>
      </w:r>
      <w:bookmarkEnd w:id="22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小于1亿元的基投项目（即投资金额不足1亿，无需上会）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基金投资的项目退出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项目对赌目标</w:t>
      </w:r>
      <w:r>
        <w:rPr>
          <w:rFonts w:eastAsia="等线" w:ascii="Arial" w:cs="Arial" w:hAnsi="Arial"/>
          <w:sz w:val="22"/>
        </w:rPr>
        <w:t>调整及投资要素变更备案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3.3.3 特殊需求</w:t>
      </w:r>
      <w:bookmarkEnd w:id="23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金额校验</w:t>
      </w:r>
      <w:r>
        <w:rPr>
          <w:rFonts w:eastAsia="等线" w:ascii="Arial" w:cs="Arial" w:hAnsi="Arial"/>
          <w:sz w:val="22"/>
        </w:rPr>
        <w:t>：对于“小于1亿元的基投项目”子场景，用户在填写备案内容时需输入投资金额，系统自动校验是否&lt;1亿元，否则不允许提交。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退出联动</w:t>
      </w:r>
      <w:r>
        <w:rPr>
          <w:rFonts w:eastAsia="等线" w:ascii="Arial" w:cs="Arial" w:hAnsi="Arial"/>
          <w:sz w:val="22"/>
        </w:rPr>
        <w:t>：对于“项目退出”场景，审批通过后需通知战投系统更新项目状态为“已退出”。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对赌目标联动</w:t>
      </w:r>
      <w:r>
        <w:rPr>
          <w:rFonts w:eastAsia="等线" w:ascii="Arial" w:cs="Arial" w:hAnsi="Arial"/>
          <w:sz w:val="22"/>
        </w:rPr>
        <w:t>：同直投项目，需调用战投系统更新接口。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其他投资要素变更联动</w:t>
      </w:r>
      <w:r>
        <w:rPr>
          <w:rFonts w:eastAsia="等线" w:ascii="Arial" w:cs="Arial" w:hAnsi="Arial"/>
          <w:sz w:val="22"/>
        </w:rPr>
        <w:t>，场景待定。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3.4 模块三：基金备案</w:t>
      </w:r>
      <w:bookmarkEnd w:id="2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3.4.1 业务说明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目前业务场景待定，需预留功能入口。初步设计：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支持发起“基金设立备案”、“基金变更备案”、“基金注销备案”。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基金主数据可从战投系统获取（如无，可先手工录入）。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待场景明确后扩展。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3.4.2 实现建议</w:t>
      </w:r>
      <w:bookmarkEnd w:id="26"/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菜单预留，但暂不启用任何子场景。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提供“基金备案”大类，管理员可后续配置子场景和表单。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3.5 模块四：法人新设类备案</w:t>
      </w:r>
      <w:bookmarkEnd w:id="2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3.5.1 业务说明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根据集团</w:t>
      </w:r>
      <w:r>
        <w:rPr>
          <w:rFonts w:eastAsia="等线" w:ascii="Arial" w:cs="Arial" w:hAnsi="Arial"/>
          <w:sz w:val="22"/>
        </w:rPr>
        <w:t>法人管理规范</w:t>
      </w:r>
      <w:r>
        <w:rPr>
          <w:rFonts w:eastAsia="等线" w:ascii="Arial" w:cs="Arial" w:hAnsi="Arial"/>
          <w:sz w:val="22"/>
        </w:rPr>
        <w:t>，领域/产业新设法人原则上需上投决会，但</w:t>
      </w:r>
      <w:r>
        <w:rPr>
          <w:rFonts w:eastAsia="等线" w:ascii="Arial" w:cs="Arial" w:hAnsi="Arial"/>
          <w:sz w:val="22"/>
        </w:rPr>
        <w:t>实际运行中，</w:t>
      </w:r>
      <w:r>
        <w:rPr>
          <w:rFonts w:eastAsia="等线" w:ascii="Arial" w:cs="Arial" w:hAnsi="Arial"/>
          <w:sz w:val="22"/>
        </w:rPr>
        <w:t>对于风险可控的简易情况，</w:t>
      </w:r>
      <w:r>
        <w:rPr>
          <w:rFonts w:eastAsia="等线" w:ascii="Arial" w:cs="Arial" w:hAnsi="Arial"/>
          <w:sz w:val="22"/>
        </w:rPr>
        <w:t>存在可不上会</w:t>
      </w:r>
      <w:r>
        <w:rPr>
          <w:rFonts w:eastAsia="等线" w:ascii="Arial" w:cs="Arial" w:hAnsi="Arial"/>
          <w:sz w:val="22"/>
        </w:rPr>
        <w:t>，仅做备案</w:t>
      </w:r>
      <w:r>
        <w:rPr>
          <w:rFonts w:eastAsia="等线" w:ascii="Arial" w:cs="Arial" w:hAnsi="Arial"/>
          <w:sz w:val="22"/>
        </w:rPr>
        <w:t>的情况</w:t>
      </w:r>
      <w:r>
        <w:rPr>
          <w:rFonts w:eastAsia="等线" w:ascii="Arial" w:cs="Arial" w:hAnsi="Arial"/>
          <w:sz w:val="22"/>
        </w:rPr>
        <w:t>。法人注册流程在法务系统中流转，本系统需接收法务系统的触发并回传备案结果。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3.5.2 子场景</w:t>
      </w:r>
      <w:bookmarkEnd w:id="29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法人信息备案（新设、注销、变更）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3.5.3 数据联动</w:t>
      </w:r>
      <w:bookmarkEnd w:id="30"/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获取法人信息</w:t>
      </w:r>
      <w:r>
        <w:rPr>
          <w:rFonts w:eastAsia="等线" w:ascii="Arial" w:cs="Arial" w:hAnsi="Arial"/>
          <w:sz w:val="22"/>
        </w:rPr>
        <w:t>：用户选择备案类型后，需从法务系统获取待备案的法人列表（包括法人名称、四位码、拟新设/变更/注销等状态）。</w:t>
      </w:r>
      <w:r>
        <w:rPr>
          <w:rFonts w:eastAsia="等线" w:ascii="Arial" w:cs="Arial" w:hAnsi="Arial"/>
          <w:sz w:val="22"/>
          <w:shd w:fill="fff67a"/>
        </w:rPr>
        <w:t>————关于法人联动，是完成备案后，再走法务系统流程；还是先法务系统流程发起，同步备案推进，备案完成后，法务系统完成流程审批。如果是前者，则可能无法从法务系统先获取到信息，这块需要再结合实际情况看看</w:t>
      </w:r>
      <w:r>
        <w:rPr>
          <w:rFonts w:eastAsia="等线" w:ascii="Arial" w:cs="Arial" w:hAnsi="Arial"/>
          <w:sz w:val="22"/>
          <w:shd w:fill="fff67a"/>
        </w:rPr>
        <w:t>（待决）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回传结果</w:t>
      </w:r>
      <w:r>
        <w:rPr>
          <w:rFonts w:eastAsia="等线" w:ascii="Arial" w:cs="Arial" w:hAnsi="Arial"/>
          <w:sz w:val="22"/>
        </w:rPr>
        <w:t>：备案审批通过后，调用法务系统接口，通知该法人已完成备案（或附带备案编号、时间、见证性文档链接），法务系统据此允许继续后续注册流程。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状态同步</w:t>
      </w:r>
      <w:r>
        <w:rPr>
          <w:rFonts w:eastAsia="等线" w:ascii="Arial" w:cs="Arial" w:hAnsi="Arial"/>
          <w:sz w:val="22"/>
        </w:rPr>
        <w:t>：若备案被驳回，法务系统应仍保持待备案状态。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3.5.4 字段建议</w:t>
      </w:r>
      <w:bookmarkEnd w:id="31"/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备案类型（新设、注销、变更，下拉单选）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法人名称（从法务系统获取）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四位码（自动带出）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备案内容描述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见证性文档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3.6 模块五：其他业务备案</w:t>
      </w:r>
      <w:bookmarkEnd w:id="3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3.6.1 说明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预留扩展点，供未来新增未知备案场景。管理员可在此大类下任意新增子场景，配置表单及流程，无需开发。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3.7 系统管理功能</w:t>
      </w:r>
      <w:bookmarkEnd w:id="3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3.7.1 子场景管理</w:t>
      </w:r>
      <w:bookmarkEnd w:id="35"/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支持按大类（股权投资备案、法人新设备案、其他备案）新增、编辑、启用/禁用子场景。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每个子场景需配置：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场景名称、编码、描述。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关联的数据来源类型（战投项目/基金/法人/无）。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是否启用对赌联动/退出联动等特殊开关。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是否启用金额校验。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3.7.2 表单配置</w:t>
      </w:r>
      <w:bookmarkEnd w:id="36"/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管理员可为每个子场景设计备案表单。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支持字段类型：单行文本、多行文本、数字、日期、单选下拉、多选下拉、附件（可设置最大数量）、只读字段（如从数据源带出的项目名称）。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可设置字段是否必填、默认值、排序。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3.7.3 流程配置</w:t>
      </w:r>
      <w:bookmarkEnd w:id="37"/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为每个子场景配置审批流程节点。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节点类型：</w:t>
      </w:r>
    </w:p>
    <w:p>
      <w:pPr>
        <w:numPr>
          <w:numId w:val="1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发起人直线</w:t>
      </w:r>
      <w:r>
        <w:rPr>
          <w:rFonts w:eastAsia="等线" w:ascii="Arial" w:cs="Arial" w:hAnsi="Arial"/>
          <w:sz w:val="22"/>
        </w:rPr>
        <w:t>（固定，系统自动解析组织架构）</w:t>
      </w:r>
    </w:p>
    <w:p>
      <w:pPr>
        <w:numPr>
          <w:numId w:val="1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集团审批节点</w:t>
      </w:r>
      <w:r>
        <w:rPr>
          <w:rFonts w:eastAsia="等线" w:ascii="Arial" w:cs="Arial" w:hAnsi="Arial"/>
          <w:sz w:val="22"/>
        </w:rPr>
        <w:t>（可添加多个，每个节点可指定具体用户或角色，角色对应一组用户，审批时需一人通过即可流转）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抄送节点</w:t>
      </w:r>
      <w:r>
        <w:rPr>
          <w:rFonts w:eastAsia="等线" w:ascii="Arial" w:cs="Arial" w:hAnsi="Arial"/>
          <w:sz w:val="22"/>
        </w:rPr>
        <w:t>（可选，指定用户或角色，节点到达时仅通知，无需审批）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可配置节点审批方式：一人通过、全部通过（默认一人通过）。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3.7.4 用户权限管理</w:t>
      </w:r>
      <w:bookmarkEnd w:id="38"/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对接超越统一身份认证。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权限控制：</w:t>
      </w:r>
    </w:p>
    <w:p>
      <w:pPr>
        <w:numPr>
          <w:numId w:val="1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发起人只能看到自己有权限的项目/法人数据。</w:t>
      </w:r>
    </w:p>
    <w:p>
      <w:pPr>
        <w:numPr>
          <w:numId w:val="1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审批人可查看待办及已办任务。</w:t>
      </w:r>
    </w:p>
    <w:p>
      <w:pPr>
        <w:numPr>
          <w:numId w:val="1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管理员拥有所有配置及查询权限。</w:t>
      </w:r>
    </w:p>
    <w:p>
      <w:pPr>
        <w:numPr>
          <w:numId w:val="1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项目负责人可查看关联备案记录。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3.8 外围系统接口</w:t>
      </w:r>
      <w:bookmarkEnd w:id="3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3.8.1 投资系统接口</w:t>
      </w:r>
      <w:bookmarkEnd w:id="40"/>
    </w:p>
    <w:p>
      <w:pPr>
        <w:spacing w:before="120" w:after="120" w:line="288" w:lineRule="auto"/>
        <w:ind w:left="0"/>
      </w:pPr>
      <w:r>
        <w:object>
          <v:shape id="_x0000_i1028" style="width:414pt;height:192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3.8.2 法务系统接口</w:t>
      </w:r>
      <w:bookmarkEnd w:id="41"/>
    </w:p>
    <w:p>
      <w:pPr>
        <w:spacing w:before="120" w:after="120" w:line="288" w:lineRule="auto"/>
        <w:ind w:left="0"/>
      </w:pPr>
      <w:r>
        <w:object>
          <v:shape id="_x0000_i1029" style="width:414pt;height:144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3.8.3 飞书平台接口</w:t>
      </w:r>
      <w:bookmarkEnd w:id="42"/>
    </w:p>
    <w:p>
      <w:pPr>
        <w:spacing w:before="120" w:after="120" w:line="288" w:lineRule="auto"/>
        <w:ind w:left="0"/>
      </w:pPr>
      <w:r>
        <w:object>
          <v:shape id="_x0000_i1030" style="width:414pt;height:93pt;mso-width-percent:0;mso-height-percent:0;mso-width-percent:0;mso-height-percent:0" type="#_x0000_t75" o:ole="">
            <v:imagedata r:id="rId16" o:title=""/>
          </v:shape>
          <o:OLEObject DrawAspect="Icon" ObjectID="_1718471224" ProgID="Excel.Sheet.12" ShapeID="_x0000_i1030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业务流程详细描述</w:t>
      </w:r>
      <w:bookmarkEnd w:id="4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4.1 股权投资备案（以直投项目对赌变更为例）</w:t>
      </w:r>
      <w:bookmarkEnd w:id="44"/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发起人登录系统</w:t>
      </w:r>
      <w:r>
        <w:rPr>
          <w:rFonts w:eastAsia="等线" w:ascii="Arial" w:cs="Arial" w:hAnsi="Arial"/>
          <w:sz w:val="22"/>
        </w:rPr>
        <w:t xml:space="preserve"> → 点击“新建备案” → 选择“股权投资备案” → 选择子场景“直投项目对赌目标变更”。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系统动态加载该场景的备案表单。发起人填写：</w:t>
      </w:r>
    </w:p>
    <w:p>
      <w:pPr>
        <w:numPr>
          <w:numId w:val="1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项目名称</w:t>
      </w:r>
      <w:r>
        <w:rPr>
          <w:rFonts w:eastAsia="等线" w:ascii="Arial" w:cs="Arial" w:hAnsi="Arial"/>
          <w:sz w:val="22"/>
        </w:rPr>
        <w:t>：从下拉框选择（调用战投接口获取可操作项目列表），选择后自动带出原对赌目标（只读）。也可自行定义。</w:t>
      </w:r>
    </w:p>
    <w:p>
      <w:pPr>
        <w:numPr>
          <w:numId w:val="1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备案内容描述</w:t>
      </w:r>
      <w:r>
        <w:rPr>
          <w:rFonts w:eastAsia="等线" w:ascii="Arial" w:cs="Arial" w:hAnsi="Arial"/>
          <w:sz w:val="22"/>
        </w:rPr>
        <w:t>：说明变更原因及新对赌目标。</w:t>
      </w:r>
    </w:p>
    <w:p>
      <w:pPr>
        <w:numPr>
          <w:numId w:val="1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见证性文档</w:t>
      </w:r>
      <w:r>
        <w:rPr>
          <w:rFonts w:eastAsia="等线" w:ascii="Arial" w:cs="Arial" w:hAnsi="Arial"/>
          <w:sz w:val="22"/>
        </w:rPr>
        <w:t>：上传相关会议纪要或文件。</w:t>
      </w:r>
    </w:p>
    <w:p>
      <w:pPr>
        <w:numPr>
          <w:numId w:val="1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其他字段</w:t>
      </w:r>
      <w:r>
        <w:rPr>
          <w:rFonts w:eastAsia="等线" w:ascii="Arial" w:cs="Arial" w:hAnsi="Arial"/>
          <w:sz w:val="22"/>
        </w:rPr>
        <w:t>（管理员配置）。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发起人提交。系统校验必填项，保存数据并启动审批流程。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第一节点（发起人直线）</w:t>
      </w:r>
      <w:r>
        <w:rPr>
          <w:rFonts w:eastAsia="等线" w:ascii="Arial" w:cs="Arial" w:hAnsi="Arial"/>
          <w:sz w:val="22"/>
        </w:rPr>
        <w:t>：收到飞书待办及邮件。直线领导审批。</w:t>
      </w:r>
    </w:p>
    <w:p>
      <w:pPr>
        <w:numPr>
          <w:numId w:val="1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若驳回，退回发起人修改。</w:t>
      </w:r>
    </w:p>
    <w:p>
      <w:pPr>
        <w:numPr>
          <w:numId w:val="1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若同意，流程进入下一节点（集团审批人）。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第二节点（集团审批人）</w:t>
      </w:r>
      <w:r>
        <w:rPr>
          <w:rFonts w:eastAsia="等线" w:ascii="Arial" w:cs="Arial" w:hAnsi="Arial"/>
          <w:sz w:val="22"/>
        </w:rPr>
        <w:t>：收到待办及邮件。审批人可查看详细内容及附件，填写意见。</w:t>
      </w:r>
    </w:p>
    <w:p>
      <w:pPr>
        <w:numPr>
          <w:numId w:val="1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若驳回，退回发起人。</w:t>
      </w:r>
    </w:p>
    <w:p>
      <w:pPr>
        <w:numPr>
          <w:numId w:val="1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若同意，流程结束。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流程结束</w:t>
      </w:r>
      <w:r>
        <w:rPr>
          <w:rFonts w:eastAsia="等线" w:ascii="Arial" w:cs="Arial" w:hAnsi="Arial"/>
          <w:sz w:val="22"/>
        </w:rPr>
        <w:t>后：</w:t>
      </w:r>
    </w:p>
    <w:p>
      <w:pPr>
        <w:numPr>
          <w:numId w:val="1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系统调用战投系统接口，更新该项目的对赌目标为新值。</w:t>
      </w:r>
    </w:p>
    <w:p>
      <w:pPr>
        <w:numPr>
          <w:numId w:val="1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向项目负责人发送邮件通知（含备案摘要）。</w:t>
      </w:r>
    </w:p>
    <w:p>
      <w:pPr>
        <w:numPr>
          <w:numId w:val="1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备案状态更新为“已完成”。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发起人及所有审批人可随时在“我的申请/我的待办”中查看进度。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4.2 法人新设备案流程</w:t>
      </w:r>
      <w:r>
        <w:rPr>
          <w:rFonts w:eastAsia="等线" w:ascii="Arial" w:cs="Arial" w:hAnsi="Arial"/>
          <w:b w:val="true"/>
          <w:sz w:val="30"/>
        </w:rPr>
        <w:t>————同前述3.5.3提示的问题</w:t>
      </w:r>
      <w:bookmarkEnd w:id="45"/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发起人选择“法人新设备案”大类 → 子场景“法人信息备案”。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填写备案类型（新设/注销/变更），选择法人名称（从法务系统获取待备案列表）。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填写备案内容描述，上传见证性文档。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提交后触发审批流程（同4.1）。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审批通过后，系统调用法务系统接口，回传备案结果（包含备案编号、时间、附件链接）。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法务系统根据结果允许法人注册流程继续。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非功能性需求</w:t>
      </w:r>
      <w:bookmarkEnd w:id="4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5.1 性能要求</w:t>
      </w:r>
      <w:bookmarkEnd w:id="47"/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并发支持：支持至少20人同时在线操作。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响应时间：页面加载 &lt; 2秒，查询 &lt; 3秒，接口响应 &lt; 1秒。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数据量：预计备案记录年增长约1万条，系统应满足5年以上数据存储。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5.2 安全性</w:t>
      </w:r>
      <w:bookmarkEnd w:id="48"/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所有操作需通过统一身份认证。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数据传输全程加密（HTTPS）。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附件存储需加密，访问需鉴权。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关键操作（审批、修改配置）需记录操作日志，可追溯。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5.3 可用性</w:t>
      </w:r>
      <w:bookmarkEnd w:id="49"/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系统需7×24小时可用，计划内维护需提前通知。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核心流程（备案发起、审批）需高可用，故障恢复时间 &lt; 2小时。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5.4 可扩展性</w:t>
      </w:r>
      <w:bookmarkEnd w:id="50"/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备案场景、表单、流程应全部可配置，无需代码改动。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预留与更多外围系统集成的能力。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5.5 易用性</w:t>
      </w:r>
      <w:bookmarkEnd w:id="51"/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界面简洁，符合超越设计规范。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待办通知需直接链接到处理页面，无需二次登录。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提供操作指引和帮助文档。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附录</w:t>
      </w:r>
      <w:bookmarkEnd w:id="5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6.1 备案状态流转图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（略，文字描述即可）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草稿 → 审批中 → 已完成 / 已驳回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6.2 字段定义示例</w:t>
      </w:r>
      <w:bookmarkEnd w:id="54"/>
    </w:p>
    <w:p>
      <w:pPr>
        <w:spacing w:before="120" w:after="120" w:line="288" w:lineRule="auto"/>
        <w:ind w:left="0"/>
      </w:pPr>
      <w:r>
        <w:object>
          <v:shape id="_x0000_i1031" style="width:414pt;height:197pt;mso-width-percent:0;mso-height-percent:0;mso-width-percent:0;mso-height-percent:0" type="#_x0000_t75" o:ole="">
            <v:imagedata r:id="rId18" o:title=""/>
          </v:shape>
          <o:OLEObject DrawAspect="Icon" ObjectID="_1718471225" ProgID="Excel.Sheet.12" ShapeID="_x0000_i1031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6.3 权限矩阵（示例）</w:t>
      </w:r>
      <w:bookmarkEnd w:id="55"/>
    </w:p>
    <w:p>
      <w:pPr>
        <w:spacing w:before="120" w:after="120" w:line="288" w:lineRule="auto"/>
        <w:ind w:left="0"/>
      </w:pPr>
      <w:r>
        <w:object>
          <v:shape id="_x0000_i1032" style="width:414pt;height:147pt;mso-width-percent:0;mso-height-percent:0;mso-width-percent:0;mso-height-percent:0" type="#_x0000_t75" o:ole="">
            <v:imagedata r:id="rId20" o:title=""/>
          </v:shape>
          <o:OLEObject DrawAspect="Icon" ObjectID="_1718471226" ProgID="Excel.Sheet.12" ShapeID="_x0000_i1032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745968">
    <w:lvl>
      <w:numFmt w:val="bullet"/>
      <w:suff w:val="tab"/>
      <w:lvlText w:val="•"/>
      <w:rPr>
        <w:color w:val="3370ff"/>
      </w:rPr>
    </w:lvl>
  </w:abstractNum>
  <w:abstractNum w:abstractNumId="745969">
    <w:lvl>
      <w:numFmt w:val="bullet"/>
      <w:suff w:val="tab"/>
      <w:lvlText w:val="•"/>
      <w:rPr>
        <w:color w:val="3370ff"/>
      </w:rPr>
    </w:lvl>
  </w:abstractNum>
  <w:abstractNum w:abstractNumId="745970">
    <w:lvl>
      <w:numFmt w:val="bullet"/>
      <w:suff w:val="tab"/>
      <w:lvlText w:val="•"/>
      <w:rPr>
        <w:color w:val="3370ff"/>
      </w:rPr>
    </w:lvl>
  </w:abstractNum>
  <w:abstractNum w:abstractNumId="745971">
    <w:lvl>
      <w:numFmt w:val="bullet"/>
      <w:suff w:val="tab"/>
      <w:lvlText w:val="•"/>
      <w:rPr>
        <w:color w:val="3370ff"/>
      </w:rPr>
    </w:lvl>
  </w:abstractNum>
  <w:abstractNum w:abstractNumId="745972">
    <w:lvl>
      <w:numFmt w:val="bullet"/>
      <w:suff w:val="tab"/>
      <w:lvlText w:val="•"/>
      <w:rPr>
        <w:color w:val="3370ff"/>
      </w:rPr>
    </w:lvl>
  </w:abstractNum>
  <w:abstractNum w:abstractNumId="745973">
    <w:lvl>
      <w:numFmt w:val="bullet"/>
      <w:suff w:val="tab"/>
      <w:lvlText w:val="•"/>
      <w:rPr>
        <w:color w:val="3370ff"/>
      </w:rPr>
    </w:lvl>
  </w:abstractNum>
  <w:abstractNum w:abstractNumId="745974">
    <w:lvl>
      <w:numFmt w:val="bullet"/>
      <w:suff w:val="tab"/>
      <w:lvlText w:val="•"/>
      <w:rPr>
        <w:color w:val="3370ff"/>
      </w:rPr>
    </w:lvl>
  </w:abstractNum>
  <w:abstractNum w:abstractNumId="745975">
    <w:lvl>
      <w:numFmt w:val="bullet"/>
      <w:suff w:val="tab"/>
      <w:lvlText w:val="•"/>
      <w:rPr>
        <w:color w:val="3370ff"/>
      </w:rPr>
    </w:lvl>
  </w:abstractNum>
  <w:abstractNum w:abstractNumId="745976">
    <w:lvl>
      <w:numFmt w:val="bullet"/>
      <w:suff w:val="tab"/>
      <w:lvlText w:val="•"/>
      <w:rPr>
        <w:color w:val="3370ff"/>
      </w:rPr>
    </w:lvl>
  </w:abstractNum>
  <w:abstractNum w:abstractNumId="745977">
    <w:lvl>
      <w:numFmt w:val="bullet"/>
      <w:suff w:val="tab"/>
      <w:lvlText w:val="•"/>
      <w:rPr>
        <w:color w:val="3370ff"/>
      </w:rPr>
    </w:lvl>
  </w:abstractNum>
  <w:abstractNum w:abstractNumId="745978">
    <w:lvl>
      <w:numFmt w:val="bullet"/>
      <w:suff w:val="tab"/>
      <w:lvlText w:val="•"/>
      <w:rPr>
        <w:color w:val="3370ff"/>
      </w:rPr>
    </w:lvl>
  </w:abstractNum>
  <w:abstractNum w:abstractNumId="745979">
    <w:lvl>
      <w:numFmt w:val="bullet"/>
      <w:suff w:val="tab"/>
      <w:lvlText w:val="•"/>
      <w:rPr>
        <w:color w:val="3370ff"/>
      </w:rPr>
    </w:lvl>
  </w:abstractNum>
  <w:abstractNum w:abstractNumId="745980">
    <w:lvl>
      <w:numFmt w:val="bullet"/>
      <w:suff w:val="tab"/>
      <w:lvlText w:val="•"/>
      <w:rPr>
        <w:color w:val="3370ff"/>
      </w:rPr>
    </w:lvl>
  </w:abstractNum>
  <w:abstractNum w:abstractNumId="745981">
    <w:lvl>
      <w:numFmt w:val="bullet"/>
      <w:suff w:val="tab"/>
      <w:lvlText w:val="￮"/>
      <w:rPr>
        <w:color w:val="3370ff"/>
      </w:rPr>
    </w:lvl>
  </w:abstractNum>
  <w:abstractNum w:abstractNumId="745982">
    <w:lvl>
      <w:numFmt w:val="bullet"/>
      <w:suff w:val="tab"/>
      <w:lvlText w:val="￮"/>
      <w:rPr>
        <w:color w:val="3370ff"/>
      </w:rPr>
    </w:lvl>
  </w:abstractNum>
  <w:abstractNum w:abstractNumId="745983">
    <w:lvl>
      <w:numFmt w:val="bullet"/>
      <w:suff w:val="tab"/>
      <w:lvlText w:val="￮"/>
      <w:rPr>
        <w:color w:val="3370ff"/>
      </w:rPr>
    </w:lvl>
  </w:abstractNum>
  <w:abstractNum w:abstractNumId="745984">
    <w:lvl>
      <w:numFmt w:val="bullet"/>
      <w:suff w:val="tab"/>
      <w:lvlText w:val="•"/>
      <w:rPr>
        <w:color w:val="3370ff"/>
      </w:rPr>
    </w:lvl>
  </w:abstractNum>
  <w:abstractNum w:abstractNumId="745985">
    <w:lvl>
      <w:numFmt w:val="bullet"/>
      <w:suff w:val="tab"/>
      <w:lvlText w:val="￮"/>
      <w:rPr>
        <w:color w:val="3370ff"/>
      </w:rPr>
    </w:lvl>
  </w:abstractNum>
  <w:abstractNum w:abstractNumId="745986">
    <w:lvl>
      <w:numFmt w:val="bullet"/>
      <w:suff w:val="tab"/>
      <w:lvlText w:val="•"/>
      <w:rPr>
        <w:color w:val="3370ff"/>
      </w:rPr>
    </w:lvl>
  </w:abstractNum>
  <w:abstractNum w:abstractNumId="745987">
    <w:lvl>
      <w:numFmt w:val="bullet"/>
      <w:suff w:val="tab"/>
      <w:lvlText w:val="•"/>
      <w:rPr>
        <w:color w:val="3370ff"/>
      </w:rPr>
    </w:lvl>
  </w:abstractNum>
  <w:abstractNum w:abstractNumId="745988">
    <w:lvl>
      <w:numFmt w:val="bullet"/>
      <w:suff w:val="tab"/>
      <w:lvlText w:val="•"/>
      <w:rPr>
        <w:color w:val="3370ff"/>
      </w:rPr>
    </w:lvl>
  </w:abstractNum>
  <w:abstractNum w:abstractNumId="745989">
    <w:lvl>
      <w:numFmt w:val="bullet"/>
      <w:suff w:val="tab"/>
      <w:lvlText w:val="•"/>
      <w:rPr>
        <w:color w:val="3370ff"/>
      </w:rPr>
    </w:lvl>
  </w:abstractNum>
  <w:abstractNum w:abstractNumId="745990">
    <w:lvl>
      <w:numFmt w:val="bullet"/>
      <w:suff w:val="tab"/>
      <w:lvlText w:val="￮"/>
      <w:rPr>
        <w:color w:val="3370ff"/>
      </w:rPr>
    </w:lvl>
  </w:abstractNum>
  <w:abstractNum w:abstractNumId="745991">
    <w:lvl>
      <w:numFmt w:val="bullet"/>
      <w:suff w:val="tab"/>
      <w:lvlText w:val="￮"/>
      <w:rPr>
        <w:color w:val="3370ff"/>
      </w:rPr>
    </w:lvl>
  </w:abstractNum>
  <w:abstractNum w:abstractNumId="745992">
    <w:lvl>
      <w:numFmt w:val="bullet"/>
      <w:suff w:val="tab"/>
      <w:lvlText w:val="￮"/>
      <w:rPr>
        <w:color w:val="3370ff"/>
      </w:rPr>
    </w:lvl>
  </w:abstractNum>
  <w:abstractNum w:abstractNumId="745993">
    <w:lvl>
      <w:numFmt w:val="bullet"/>
      <w:suff w:val="tab"/>
      <w:lvlText w:val="•"/>
      <w:rPr>
        <w:color w:val="3370ff"/>
      </w:rPr>
    </w:lvl>
  </w:abstractNum>
  <w:abstractNum w:abstractNumId="745994">
    <w:lvl>
      <w:numFmt w:val="bullet"/>
      <w:suff w:val="tab"/>
      <w:lvlText w:val="•"/>
      <w:rPr>
        <w:color w:val="3370ff"/>
      </w:rPr>
    </w:lvl>
  </w:abstractNum>
  <w:abstractNum w:abstractNumId="745995">
    <w:lvl>
      <w:numFmt w:val="bullet"/>
      <w:suff w:val="tab"/>
      <w:lvlText w:val="•"/>
      <w:rPr>
        <w:color w:val="3370ff"/>
      </w:rPr>
    </w:lvl>
  </w:abstractNum>
  <w:abstractNum w:abstractNumId="745996">
    <w:lvl>
      <w:numFmt w:val="bullet"/>
      <w:suff w:val="tab"/>
      <w:lvlText w:val="•"/>
      <w:rPr>
        <w:color w:val="3370ff"/>
      </w:rPr>
    </w:lvl>
  </w:abstractNum>
  <w:abstractNum w:abstractNumId="745997">
    <w:lvl>
      <w:numFmt w:val="bullet"/>
      <w:suff w:val="tab"/>
      <w:lvlText w:val="￮"/>
      <w:rPr>
        <w:color w:val="3370ff"/>
      </w:rPr>
    </w:lvl>
  </w:abstractNum>
  <w:abstractNum w:abstractNumId="745998">
    <w:lvl>
      <w:numFmt w:val="bullet"/>
      <w:suff w:val="tab"/>
      <w:lvlText w:val="￮"/>
      <w:rPr>
        <w:color w:val="3370ff"/>
      </w:rPr>
    </w:lvl>
  </w:abstractNum>
  <w:abstractNum w:abstractNumId="745999">
    <w:lvl>
      <w:numFmt w:val="bullet"/>
      <w:suff w:val="tab"/>
      <w:lvlText w:val="￮"/>
      <w:rPr>
        <w:color w:val="3370ff"/>
      </w:rPr>
    </w:lvl>
  </w:abstractNum>
  <w:abstractNum w:abstractNumId="746000">
    <w:lvl>
      <w:numFmt w:val="bullet"/>
      <w:suff w:val="tab"/>
      <w:lvlText w:val="￮"/>
      <w:rPr>
        <w:color w:val="3370ff"/>
      </w:rPr>
    </w:lvl>
  </w:abstractNum>
  <w:abstractNum w:abstractNumId="746001">
    <w:lvl>
      <w:numFmt w:val="bullet"/>
      <w:suff w:val="tab"/>
      <w:lvlText w:val="•"/>
      <w:rPr>
        <w:color w:val="3370ff"/>
      </w:rPr>
    </w:lvl>
  </w:abstractNum>
  <w:abstractNum w:abstractNumId="746002">
    <w:lvl>
      <w:numFmt w:val="bullet"/>
      <w:suff w:val="tab"/>
      <w:lvlText w:val="•"/>
      <w:rPr>
        <w:color w:val="3370ff"/>
      </w:rPr>
    </w:lvl>
  </w:abstractNum>
  <w:abstractNum w:abstractNumId="746003">
    <w:lvl>
      <w:numFmt w:val="bullet"/>
      <w:suff w:val="tab"/>
      <w:lvlText w:val="•"/>
      <w:rPr>
        <w:color w:val="3370ff"/>
      </w:rPr>
    </w:lvl>
  </w:abstractNum>
  <w:abstractNum w:abstractNumId="746004">
    <w:lvl>
      <w:numFmt w:val="bullet"/>
      <w:suff w:val="tab"/>
      <w:lvlText w:val="•"/>
      <w:rPr>
        <w:color w:val="3370ff"/>
      </w:rPr>
    </w:lvl>
  </w:abstractNum>
  <w:abstractNum w:abstractNumId="746005">
    <w:lvl>
      <w:numFmt w:val="bullet"/>
      <w:suff w:val="tab"/>
      <w:lvlText w:val="•"/>
      <w:rPr>
        <w:color w:val="3370ff"/>
      </w:rPr>
    </w:lvl>
  </w:abstractNum>
  <w:abstractNum w:abstractNumId="746006">
    <w:lvl>
      <w:numFmt w:val="bullet"/>
      <w:suff w:val="tab"/>
      <w:lvlText w:val="•"/>
      <w:rPr>
        <w:color w:val="3370ff"/>
      </w:rPr>
    </w:lvl>
  </w:abstractNum>
  <w:abstractNum w:abstractNumId="746007">
    <w:lvl>
      <w:numFmt w:val="bullet"/>
      <w:suff w:val="tab"/>
      <w:lvlText w:val="￮"/>
      <w:rPr>
        <w:color w:val="3370ff"/>
      </w:rPr>
    </w:lvl>
  </w:abstractNum>
  <w:abstractNum w:abstractNumId="746008">
    <w:lvl>
      <w:numFmt w:val="bullet"/>
      <w:suff w:val="tab"/>
      <w:lvlText w:val="￮"/>
      <w:rPr>
        <w:color w:val="3370ff"/>
      </w:rPr>
    </w:lvl>
  </w:abstractNum>
  <w:abstractNum w:abstractNumId="746009">
    <w:lvl>
      <w:numFmt w:val="bullet"/>
      <w:suff w:val="tab"/>
      <w:lvlText w:val="•"/>
      <w:rPr>
        <w:color w:val="3370ff"/>
      </w:rPr>
    </w:lvl>
  </w:abstractNum>
  <w:abstractNum w:abstractNumId="746010">
    <w:lvl>
      <w:numFmt w:val="bullet"/>
      <w:suff w:val="tab"/>
      <w:lvlText w:val="￮"/>
      <w:rPr>
        <w:color w:val="3370ff"/>
      </w:rPr>
    </w:lvl>
  </w:abstractNum>
  <w:abstractNum w:abstractNumId="746011">
    <w:lvl>
      <w:numFmt w:val="bullet"/>
      <w:suff w:val="tab"/>
      <w:lvlText w:val="￮"/>
      <w:rPr>
        <w:color w:val="3370ff"/>
      </w:rPr>
    </w:lvl>
  </w:abstractNum>
  <w:abstractNum w:abstractNumId="746012">
    <w:lvl>
      <w:numFmt w:val="bullet"/>
      <w:suff w:val="tab"/>
      <w:lvlText w:val="￮"/>
      <w:rPr>
        <w:color w:val="3370ff"/>
      </w:rPr>
    </w:lvl>
  </w:abstractNum>
  <w:abstractNum w:abstractNumId="746013">
    <w:lvl>
      <w:numFmt w:val="bullet"/>
      <w:suff w:val="tab"/>
      <w:lvlText w:val="￮"/>
      <w:rPr>
        <w:color w:val="3370ff"/>
      </w:rPr>
    </w:lvl>
  </w:abstractNum>
  <w:abstractNum w:abstractNumId="746014">
    <w:lvl>
      <w:numFmt w:val="bullet"/>
      <w:suff w:val="tab"/>
      <w:lvlText w:val="￮"/>
      <w:rPr>
        <w:color w:val="3370ff"/>
      </w:rPr>
    </w:lvl>
  </w:abstractNum>
  <w:abstractNum w:abstractNumId="746015">
    <w:lvl>
      <w:numFmt w:val="bullet"/>
      <w:suff w:val="tab"/>
      <w:lvlText w:val="￮"/>
      <w:rPr>
        <w:color w:val="3370ff"/>
      </w:rPr>
    </w:lvl>
  </w:abstractNum>
  <w:abstractNum w:abstractNumId="746016">
    <w:lvl>
      <w:numFmt w:val="bullet"/>
      <w:suff w:val="tab"/>
      <w:lvlText w:val="￮"/>
      <w:rPr>
        <w:color w:val="3370ff"/>
      </w:rPr>
    </w:lvl>
  </w:abstractNum>
  <w:abstractNum w:abstractNumId="746017">
    <w:lvl>
      <w:numFmt w:val="bullet"/>
      <w:suff w:val="tab"/>
      <w:lvlText w:val="•"/>
      <w:rPr>
        <w:color w:val="3370ff"/>
      </w:rPr>
    </w:lvl>
  </w:abstractNum>
  <w:abstractNum w:abstractNumId="746018">
    <w:lvl>
      <w:numFmt w:val="bullet"/>
      <w:suff w:val="tab"/>
      <w:lvlText w:val="•"/>
      <w:rPr>
        <w:color w:val="3370ff"/>
      </w:rPr>
    </w:lvl>
  </w:abstractNum>
  <w:abstractNum w:abstractNumId="746019">
    <w:lvl>
      <w:numFmt w:val="bullet"/>
      <w:suff w:val="tab"/>
      <w:lvlText w:val="￮"/>
      <w:rPr>
        <w:color w:val="3370ff"/>
      </w:rPr>
    </w:lvl>
  </w:abstractNum>
  <w:abstractNum w:abstractNumId="746020">
    <w:lvl>
      <w:numFmt w:val="bullet"/>
      <w:suff w:val="tab"/>
      <w:lvlText w:val="￮"/>
      <w:rPr>
        <w:color w:val="3370ff"/>
      </w:rPr>
    </w:lvl>
  </w:abstractNum>
  <w:abstractNum w:abstractNumId="746021">
    <w:lvl>
      <w:numFmt w:val="bullet"/>
      <w:suff w:val="tab"/>
      <w:lvlText w:val="￮"/>
      <w:rPr>
        <w:color w:val="3370ff"/>
      </w:rPr>
    </w:lvl>
  </w:abstractNum>
  <w:abstractNum w:abstractNumId="746022">
    <w:lvl>
      <w:numFmt w:val="bullet"/>
      <w:suff w:val="tab"/>
      <w:lvlText w:val="•"/>
      <w:rPr>
        <w:color w:val="3370ff"/>
      </w:rPr>
    </w:lvl>
  </w:abstractNum>
  <w:abstractNum w:abstractNumId="746023">
    <w:lvl>
      <w:numFmt w:val="bullet"/>
      <w:suff w:val="tab"/>
      <w:lvlText w:val="•"/>
      <w:rPr>
        <w:color w:val="3370ff"/>
      </w:rPr>
    </w:lvl>
  </w:abstractNum>
  <w:abstractNum w:abstractNumId="746024">
    <w:lvl>
      <w:numFmt w:val="bullet"/>
      <w:suff w:val="tab"/>
      <w:lvlText w:val="￮"/>
      <w:rPr>
        <w:color w:val="3370ff"/>
      </w:rPr>
    </w:lvl>
  </w:abstractNum>
  <w:abstractNum w:abstractNumId="746025">
    <w:lvl>
      <w:numFmt w:val="bullet"/>
      <w:suff w:val="tab"/>
      <w:lvlText w:val="￮"/>
      <w:rPr>
        <w:color w:val="3370ff"/>
      </w:rPr>
    </w:lvl>
  </w:abstractNum>
  <w:abstractNum w:abstractNumId="746026">
    <w:lvl>
      <w:numFmt w:val="bullet"/>
      <w:suff w:val="tab"/>
      <w:lvlText w:val="•"/>
      <w:rPr>
        <w:color w:val="3370ff"/>
      </w:rPr>
    </w:lvl>
  </w:abstractNum>
  <w:abstractNum w:abstractNumId="746027">
    <w:lvl>
      <w:numFmt w:val="bullet"/>
      <w:suff w:val="tab"/>
      <w:lvlText w:val="•"/>
      <w:rPr>
        <w:color w:val="3370ff"/>
      </w:rPr>
    </w:lvl>
  </w:abstractNum>
  <w:abstractNum w:abstractNumId="746028">
    <w:lvl>
      <w:numFmt w:val="bullet"/>
      <w:suff w:val="tab"/>
      <w:lvlText w:val="•"/>
      <w:rPr>
        <w:color w:val="3370ff"/>
      </w:rPr>
    </w:lvl>
  </w:abstractNum>
  <w:abstractNum w:abstractNumId="746029">
    <w:lvl>
      <w:numFmt w:val="bullet"/>
      <w:suff w:val="tab"/>
      <w:lvlText w:val="•"/>
      <w:rPr>
        <w:color w:val="3370ff"/>
      </w:rPr>
    </w:lvl>
  </w:abstractNum>
  <w:abstractNum w:abstractNumId="746030">
    <w:lvl>
      <w:numFmt w:val="bullet"/>
      <w:suff w:val="tab"/>
      <w:lvlText w:val="•"/>
      <w:rPr>
        <w:color w:val="3370ff"/>
      </w:rPr>
    </w:lvl>
  </w:abstractNum>
  <w:abstractNum w:abstractNumId="746031">
    <w:lvl>
      <w:numFmt w:val="bullet"/>
      <w:suff w:val="tab"/>
      <w:lvlText w:val="•"/>
      <w:rPr>
        <w:color w:val="3370ff"/>
      </w:rPr>
    </w:lvl>
  </w:abstractNum>
  <w:abstractNum w:abstractNumId="746032">
    <w:lvl>
      <w:numFmt w:val="bullet"/>
      <w:suff w:val="tab"/>
      <w:lvlText w:val="•"/>
      <w:rPr>
        <w:color w:val="3370ff"/>
      </w:rPr>
    </w:lvl>
  </w:abstractNum>
  <w:abstractNum w:abstractNumId="746033">
    <w:lvl>
      <w:numFmt w:val="bullet"/>
      <w:suff w:val="tab"/>
      <w:lvlText w:val="•"/>
      <w:rPr>
        <w:color w:val="3370ff"/>
      </w:rPr>
    </w:lvl>
  </w:abstractNum>
  <w:abstractNum w:abstractNumId="746034">
    <w:lvl>
      <w:numFmt w:val="bullet"/>
      <w:suff w:val="tab"/>
      <w:lvlText w:val="•"/>
      <w:rPr>
        <w:color w:val="3370ff"/>
      </w:rPr>
    </w:lvl>
  </w:abstractNum>
  <w:abstractNum w:abstractNumId="746035">
    <w:lvl>
      <w:numFmt w:val="bullet"/>
      <w:suff w:val="tab"/>
      <w:lvlText w:val="•"/>
      <w:rPr>
        <w:color w:val="3370ff"/>
      </w:rPr>
    </w:lvl>
  </w:abstractNum>
  <w:abstractNum w:abstractNumId="746036">
    <w:lvl>
      <w:numFmt w:val="bullet"/>
      <w:suff w:val="tab"/>
      <w:lvlText w:val="•"/>
      <w:rPr>
        <w:color w:val="3370ff"/>
      </w:rPr>
    </w:lvl>
  </w:abstractNum>
  <w:abstractNum w:abstractNumId="746037">
    <w:lvl>
      <w:numFmt w:val="bullet"/>
      <w:suff w:val="tab"/>
      <w:lvlText w:val="•"/>
      <w:rPr>
        <w:color w:val="3370ff"/>
      </w:rPr>
    </w:lvl>
  </w:abstractNum>
  <w:abstractNum w:abstractNumId="746038">
    <w:lvl>
      <w:numFmt w:val="bullet"/>
      <w:suff w:val="tab"/>
      <w:lvlText w:val="•"/>
      <w:rPr>
        <w:color w:val="3370ff"/>
      </w:rPr>
    </w:lvl>
  </w:abstractNum>
  <w:abstractNum w:abstractNumId="746039">
    <w:lvl>
      <w:numFmt w:val="bullet"/>
      <w:suff w:val="tab"/>
      <w:lvlText w:val="•"/>
      <w:rPr>
        <w:color w:val="3370ff"/>
      </w:rPr>
    </w:lvl>
  </w:abstractNum>
  <w:abstractNum w:abstractNumId="746040">
    <w:lvl>
      <w:numFmt w:val="bullet"/>
      <w:suff w:val="tab"/>
      <w:lvlText w:val="•"/>
      <w:rPr>
        <w:color w:val="3370ff"/>
      </w:rPr>
    </w:lvl>
  </w:abstractNum>
  <w:abstractNum w:abstractNumId="746041">
    <w:lvl>
      <w:numFmt w:val="bullet"/>
      <w:suff w:val="tab"/>
      <w:lvlText w:val="•"/>
      <w:rPr>
        <w:color w:val="3370ff"/>
      </w:rPr>
    </w:lvl>
  </w:abstractNum>
  <w:abstractNum w:abstractNumId="746042">
    <w:lvl>
      <w:numFmt w:val="bullet"/>
      <w:suff w:val="tab"/>
      <w:lvlText w:val="•"/>
      <w:rPr>
        <w:color w:val="3370ff"/>
      </w:rPr>
    </w:lvl>
  </w:abstractNum>
  <w:abstractNum w:abstractNumId="746043">
    <w:lvl>
      <w:numFmt w:val="bullet"/>
      <w:suff w:val="tab"/>
      <w:lvlText w:val="•"/>
      <w:rPr>
        <w:color w:val="3370ff"/>
      </w:rPr>
    </w:lvl>
  </w:abstractNum>
  <w:abstractNum w:abstractNumId="746044">
    <w:lvl>
      <w:numFmt w:val="bullet"/>
      <w:suff w:val="tab"/>
      <w:lvlText w:val="•"/>
      <w:rPr>
        <w:color w:val="3370ff"/>
      </w:rPr>
    </w:lvl>
  </w:abstractNum>
  <w:abstractNum w:abstractNumId="746045">
    <w:lvl>
      <w:numFmt w:val="bullet"/>
      <w:suff w:val="tab"/>
      <w:lvlText w:val="•"/>
      <w:rPr>
        <w:color w:val="3370ff"/>
      </w:rPr>
    </w:lvl>
  </w:abstractNum>
  <w:abstractNum w:abstractNumId="746046">
    <w:lvl>
      <w:numFmt w:val="bullet"/>
      <w:suff w:val="tab"/>
      <w:lvlText w:val="•"/>
      <w:rPr>
        <w:color w:val="3370ff"/>
      </w:rPr>
    </w:lvl>
  </w:abstractNum>
  <w:abstractNum w:abstractNumId="746047">
    <w:lvl>
      <w:numFmt w:val="bullet"/>
      <w:suff w:val="tab"/>
      <w:lvlText w:val="•"/>
      <w:rPr>
        <w:color w:val="3370ff"/>
      </w:rPr>
    </w:lvl>
  </w:abstractNum>
  <w:abstractNum w:abstractNumId="746048">
    <w:lvl>
      <w:numFmt w:val="bullet"/>
      <w:suff w:val="tab"/>
      <w:lvlText w:val="•"/>
      <w:rPr>
        <w:color w:val="3370ff"/>
      </w:rPr>
    </w:lvl>
  </w:abstractNum>
  <w:abstractNum w:abstractNumId="746049">
    <w:lvl>
      <w:numFmt w:val="bullet"/>
      <w:suff w:val="tab"/>
      <w:lvlText w:val="•"/>
      <w:rPr>
        <w:color w:val="3370ff"/>
      </w:rPr>
    </w:lvl>
  </w:abstractNum>
  <w:abstractNum w:abstractNumId="746050">
    <w:lvl>
      <w:numFmt w:val="bullet"/>
      <w:suff w:val="tab"/>
      <w:lvlText w:val="•"/>
      <w:rPr>
        <w:color w:val="3370ff"/>
      </w:rPr>
    </w:lvl>
  </w:abstractNum>
  <w:abstractNum w:abstractNumId="746051">
    <w:lvl>
      <w:numFmt w:val="bullet"/>
      <w:suff w:val="tab"/>
      <w:lvlText w:val="•"/>
      <w:rPr>
        <w:color w:val="3370ff"/>
      </w:rPr>
    </w:lvl>
  </w:abstractNum>
  <w:abstractNum w:abstractNumId="746052">
    <w:lvl>
      <w:numFmt w:val="bullet"/>
      <w:suff w:val="tab"/>
      <w:lvlText w:val="•"/>
      <w:rPr>
        <w:color w:val="3370ff"/>
      </w:rPr>
    </w:lvl>
  </w:abstractNum>
  <w:abstractNum w:abstractNumId="746053">
    <w:lvl>
      <w:numFmt w:val="bullet"/>
      <w:suff w:val="tab"/>
      <w:lvlText w:val="•"/>
      <w:rPr>
        <w:color w:val="3370ff"/>
      </w:rPr>
    </w:lvl>
  </w:abstractNum>
  <w:abstractNum w:abstractNumId="746054">
    <w:lvl>
      <w:numFmt w:val="bullet"/>
      <w:suff w:val="tab"/>
      <w:lvlText w:val="•"/>
      <w:rPr>
        <w:color w:val="3370ff"/>
      </w:rPr>
    </w:lvl>
  </w:abstractNum>
  <w:abstractNum w:abstractNumId="746055">
    <w:lvl>
      <w:numFmt w:val="bullet"/>
      <w:suff w:val="tab"/>
      <w:lvlText w:val="•"/>
      <w:rPr>
        <w:color w:val="3370ff"/>
      </w:rPr>
    </w:lvl>
  </w:abstractNum>
  <w:abstractNum w:abstractNumId="746056">
    <w:lvl>
      <w:numFmt w:val="bullet"/>
      <w:suff w:val="tab"/>
      <w:lvlText w:val="•"/>
      <w:rPr>
        <w:color w:val="3370ff"/>
      </w:rPr>
    </w:lvl>
  </w:abstractNum>
  <w:abstractNum w:abstractNumId="746057">
    <w:lvl>
      <w:numFmt w:val="bullet"/>
      <w:suff w:val="tab"/>
      <w:lvlText w:val="•"/>
      <w:rPr>
        <w:color w:val="3370ff"/>
      </w:rPr>
    </w:lvl>
  </w:abstractNum>
  <w:abstractNum w:abstractNumId="746058">
    <w:lvl>
      <w:numFmt w:val="bullet"/>
      <w:suff w:val="tab"/>
      <w:lvlText w:val="•"/>
      <w:rPr>
        <w:color w:val="3370ff"/>
      </w:rPr>
    </w:lvl>
  </w:abstractNum>
  <w:abstractNum w:abstractNumId="746059">
    <w:lvl>
      <w:numFmt w:val="bullet"/>
      <w:suff w:val="tab"/>
      <w:lvlText w:val="•"/>
      <w:rPr>
        <w:color w:val="3370ff"/>
      </w:rPr>
    </w:lvl>
  </w:abstractNum>
  <w:abstractNum w:abstractNumId="746060">
    <w:lvl>
      <w:numFmt w:val="bullet"/>
      <w:suff w:val="tab"/>
      <w:lvlText w:val="•"/>
      <w:rPr>
        <w:color w:val="3370ff"/>
      </w:rPr>
    </w:lvl>
  </w:abstractNum>
  <w:abstractNum w:abstractNumId="746061">
    <w:lvl>
      <w:numFmt w:val="bullet"/>
      <w:suff w:val="tab"/>
      <w:lvlText w:val="•"/>
      <w:rPr>
        <w:color w:val="3370ff"/>
      </w:rPr>
    </w:lvl>
  </w:abstractNum>
  <w:abstractNum w:abstractNumId="746062">
    <w:lvl>
      <w:numFmt w:val="bullet"/>
      <w:suff w:val="tab"/>
      <w:lvlText w:val="•"/>
      <w:rPr>
        <w:color w:val="3370ff"/>
      </w:rPr>
    </w:lvl>
  </w:abstractNum>
  <w:abstractNum w:abstractNumId="746063">
    <w:lvl>
      <w:numFmt w:val="bullet"/>
      <w:suff w:val="tab"/>
      <w:lvlText w:val="•"/>
      <w:rPr>
        <w:color w:val="3370ff"/>
      </w:rPr>
    </w:lvl>
  </w:abstractNum>
  <w:abstractNum w:abstractNumId="746064">
    <w:lvl>
      <w:numFmt w:val="bullet"/>
      <w:suff w:val="tab"/>
      <w:lvlText w:val="•"/>
      <w:rPr>
        <w:color w:val="3370ff"/>
      </w:rPr>
    </w:lvl>
  </w:abstractNum>
  <w:abstractNum w:abstractNumId="746065">
    <w:lvl>
      <w:numFmt w:val="bullet"/>
      <w:suff w:val="tab"/>
      <w:lvlText w:val="•"/>
      <w:rPr>
        <w:color w:val="3370ff"/>
      </w:rPr>
    </w:lvl>
  </w:abstractNum>
  <w:abstractNum w:abstractNumId="746066">
    <w:lvl>
      <w:numFmt w:val="bullet"/>
      <w:suff w:val="tab"/>
      <w:lvlText w:val="￮"/>
      <w:rPr>
        <w:color w:val="3370ff"/>
      </w:rPr>
    </w:lvl>
  </w:abstractNum>
  <w:abstractNum w:abstractNumId="746067">
    <w:lvl>
      <w:numFmt w:val="bullet"/>
      <w:suff w:val="tab"/>
      <w:lvlText w:val="￮"/>
      <w:rPr>
        <w:color w:val="3370ff"/>
      </w:rPr>
    </w:lvl>
  </w:abstractNum>
  <w:abstractNum w:abstractNumId="746068">
    <w:lvl>
      <w:numFmt w:val="bullet"/>
      <w:suff w:val="tab"/>
      <w:lvlText w:val="￮"/>
      <w:rPr>
        <w:color w:val="3370ff"/>
      </w:rPr>
    </w:lvl>
  </w:abstractNum>
  <w:abstractNum w:abstractNumId="746069">
    <w:lvl>
      <w:numFmt w:val="bullet"/>
      <w:suff w:val="tab"/>
      <w:lvlText w:val="￮"/>
      <w:rPr>
        <w:color w:val="3370ff"/>
      </w:rPr>
    </w:lvl>
  </w:abstractNum>
  <w:abstractNum w:abstractNumId="746070">
    <w:lvl>
      <w:numFmt w:val="bullet"/>
      <w:suff w:val="tab"/>
      <w:lvlText w:val="•"/>
      <w:rPr>
        <w:color w:val="3370ff"/>
      </w:rPr>
    </w:lvl>
  </w:abstractNum>
  <w:abstractNum w:abstractNumId="746071">
    <w:lvl>
      <w:numFmt w:val="bullet"/>
      <w:suff w:val="tab"/>
      <w:lvlText w:val="•"/>
      <w:rPr>
        <w:color w:val="3370ff"/>
      </w:rPr>
    </w:lvl>
  </w:abstractNum>
  <w:abstractNum w:abstractNumId="746072">
    <w:lvl>
      <w:numFmt w:val="bullet"/>
      <w:suff w:val="tab"/>
      <w:lvlText w:val="•"/>
      <w:rPr>
        <w:color w:val="3370ff"/>
      </w:rPr>
    </w:lvl>
  </w:abstractNum>
  <w:abstractNum w:abstractNumId="746073">
    <w:lvl>
      <w:numFmt w:val="bullet"/>
      <w:suff w:val="tab"/>
      <w:lvlText w:val="•"/>
      <w:rPr>
        <w:color w:val="3370ff"/>
      </w:rPr>
    </w:lvl>
  </w:abstractNum>
  <w:abstractNum w:abstractNumId="746074">
    <w:lvl>
      <w:numFmt w:val="bullet"/>
      <w:suff w:val="tab"/>
      <w:lvlText w:val="•"/>
      <w:rPr>
        <w:color w:val="3370ff"/>
      </w:rPr>
    </w:lvl>
  </w:abstractNum>
  <w:abstractNum w:abstractNumId="746075">
    <w:lvl>
      <w:numFmt w:val="bullet"/>
      <w:suff w:val="tab"/>
      <w:lvlText w:val="￮"/>
      <w:rPr>
        <w:color w:val="3370ff"/>
      </w:rPr>
    </w:lvl>
  </w:abstractNum>
  <w:abstractNum w:abstractNumId="746076">
    <w:lvl>
      <w:numFmt w:val="bullet"/>
      <w:suff w:val="tab"/>
      <w:lvlText w:val="￮"/>
      <w:rPr>
        <w:color w:val="3370ff"/>
      </w:rPr>
    </w:lvl>
  </w:abstractNum>
  <w:abstractNum w:abstractNumId="746077">
    <w:lvl>
      <w:numFmt w:val="bullet"/>
      <w:suff w:val="tab"/>
      <w:lvlText w:val="￮"/>
      <w:rPr>
        <w:color w:val="3370ff"/>
      </w:rPr>
    </w:lvl>
  </w:abstractNum>
  <w:abstractNum w:abstractNumId="746078">
    <w:lvl>
      <w:numFmt w:val="bullet"/>
      <w:suff w:val="tab"/>
      <w:lvlText w:val="•"/>
      <w:rPr>
        <w:color w:val="3370ff"/>
      </w:rPr>
    </w:lvl>
  </w:abstractNum>
  <w:abstractNum w:abstractNumId="746079">
    <w:lvl>
      <w:numFmt w:val="bullet"/>
      <w:suff w:val="tab"/>
      <w:lvlText w:val="•"/>
      <w:rPr>
        <w:color w:val="3370ff"/>
      </w:rPr>
    </w:lvl>
  </w:abstractNum>
  <w:abstractNum w:abstractNumId="746080">
    <w:lvl>
      <w:numFmt w:val="bullet"/>
      <w:suff w:val="tab"/>
      <w:lvlText w:val="•"/>
      <w:rPr>
        <w:color w:val="3370ff"/>
      </w:rPr>
    </w:lvl>
  </w:abstractNum>
  <w:abstractNum w:abstractNumId="746081">
    <w:lvl>
      <w:numFmt w:val="bullet"/>
      <w:suff w:val="tab"/>
      <w:lvlText w:val="￮"/>
      <w:rPr>
        <w:color w:val="3370ff"/>
      </w:rPr>
    </w:lvl>
  </w:abstractNum>
  <w:abstractNum w:abstractNumId="746082">
    <w:lvl>
      <w:numFmt w:val="bullet"/>
      <w:suff w:val="tab"/>
      <w:lvlText w:val="￮"/>
      <w:rPr>
        <w:color w:val="3370ff"/>
      </w:rPr>
    </w:lvl>
  </w:abstractNum>
  <w:abstractNum w:abstractNumId="746083">
    <w:lvl>
      <w:numFmt w:val="bullet"/>
      <w:suff w:val="tab"/>
      <w:lvlText w:val="￮"/>
      <w:rPr>
        <w:color w:val="3370ff"/>
      </w:rPr>
    </w:lvl>
  </w:abstractNum>
  <w:abstractNum w:abstractNumId="746084">
    <w:lvl>
      <w:numFmt w:val="bullet"/>
      <w:suff w:val="tab"/>
      <w:lvlText w:val="￮"/>
      <w:rPr>
        <w:color w:val="3370ff"/>
      </w:rPr>
    </w:lvl>
  </w:abstractNum>
  <w:abstractNum w:abstractNumId="746085">
    <w:lvl>
      <w:start w:val="1"/>
      <w:numFmt w:val="decimal"/>
      <w:suff w:val="tab"/>
      <w:lvlText w:val="%1."/>
      <w:rPr>
        <w:color w:val="3370ff"/>
      </w:rPr>
    </w:lvl>
  </w:abstractNum>
  <w:abstractNum w:abstractNumId="746086">
    <w:lvl>
      <w:start w:val="2"/>
      <w:numFmt w:val="decimal"/>
      <w:suff w:val="tab"/>
      <w:lvlText w:val="%1."/>
      <w:rPr>
        <w:color w:val="3370ff"/>
      </w:rPr>
    </w:lvl>
  </w:abstractNum>
  <w:abstractNum w:abstractNumId="746087">
    <w:lvl>
      <w:numFmt w:val="bullet"/>
      <w:suff w:val="tab"/>
      <w:lvlText w:val="￮"/>
      <w:rPr>
        <w:color w:val="3370ff"/>
      </w:rPr>
    </w:lvl>
  </w:abstractNum>
  <w:abstractNum w:abstractNumId="746088">
    <w:lvl>
      <w:numFmt w:val="bullet"/>
      <w:suff w:val="tab"/>
      <w:lvlText w:val="￮"/>
      <w:rPr>
        <w:color w:val="3370ff"/>
      </w:rPr>
    </w:lvl>
  </w:abstractNum>
  <w:abstractNum w:abstractNumId="746089">
    <w:lvl>
      <w:numFmt w:val="bullet"/>
      <w:suff w:val="tab"/>
      <w:lvlText w:val="￮"/>
      <w:rPr>
        <w:color w:val="3370ff"/>
      </w:rPr>
    </w:lvl>
  </w:abstractNum>
  <w:abstractNum w:abstractNumId="746090">
    <w:lvl>
      <w:numFmt w:val="bullet"/>
      <w:suff w:val="tab"/>
      <w:lvlText w:val="￮"/>
      <w:rPr>
        <w:color w:val="3370ff"/>
      </w:rPr>
    </w:lvl>
  </w:abstractNum>
  <w:abstractNum w:abstractNumId="746091">
    <w:lvl>
      <w:start w:val="3"/>
      <w:numFmt w:val="decimal"/>
      <w:suff w:val="tab"/>
      <w:lvlText w:val="%1."/>
      <w:rPr>
        <w:color w:val="3370ff"/>
      </w:rPr>
    </w:lvl>
  </w:abstractNum>
  <w:abstractNum w:abstractNumId="746092">
    <w:lvl>
      <w:start w:val="4"/>
      <w:numFmt w:val="decimal"/>
      <w:suff w:val="tab"/>
      <w:lvlText w:val="%1."/>
      <w:rPr>
        <w:color w:val="3370ff"/>
      </w:rPr>
    </w:lvl>
  </w:abstractNum>
  <w:abstractNum w:abstractNumId="746093">
    <w:lvl>
      <w:numFmt w:val="bullet"/>
      <w:suff w:val="tab"/>
      <w:lvlText w:val="￮"/>
      <w:rPr>
        <w:color w:val="3370ff"/>
      </w:rPr>
    </w:lvl>
  </w:abstractNum>
  <w:abstractNum w:abstractNumId="746094">
    <w:lvl>
      <w:numFmt w:val="bullet"/>
      <w:suff w:val="tab"/>
      <w:lvlText w:val="￮"/>
      <w:rPr>
        <w:color w:val="3370ff"/>
      </w:rPr>
    </w:lvl>
  </w:abstractNum>
  <w:abstractNum w:abstractNumId="746095">
    <w:lvl>
      <w:start w:val="5"/>
      <w:numFmt w:val="decimal"/>
      <w:suff w:val="tab"/>
      <w:lvlText w:val="%1."/>
      <w:rPr>
        <w:color w:val="3370ff"/>
      </w:rPr>
    </w:lvl>
  </w:abstractNum>
  <w:abstractNum w:abstractNumId="746096">
    <w:lvl>
      <w:numFmt w:val="bullet"/>
      <w:suff w:val="tab"/>
      <w:lvlText w:val="￮"/>
      <w:rPr>
        <w:color w:val="3370ff"/>
      </w:rPr>
    </w:lvl>
  </w:abstractNum>
  <w:abstractNum w:abstractNumId="746097">
    <w:lvl>
      <w:numFmt w:val="bullet"/>
      <w:suff w:val="tab"/>
      <w:lvlText w:val="￮"/>
      <w:rPr>
        <w:color w:val="3370ff"/>
      </w:rPr>
    </w:lvl>
  </w:abstractNum>
  <w:abstractNum w:abstractNumId="746098">
    <w:lvl>
      <w:start w:val="6"/>
      <w:numFmt w:val="decimal"/>
      <w:suff w:val="tab"/>
      <w:lvlText w:val="%1."/>
      <w:rPr>
        <w:color w:val="3370ff"/>
      </w:rPr>
    </w:lvl>
  </w:abstractNum>
  <w:abstractNum w:abstractNumId="746099">
    <w:lvl>
      <w:numFmt w:val="bullet"/>
      <w:suff w:val="tab"/>
      <w:lvlText w:val="￮"/>
      <w:rPr>
        <w:color w:val="3370ff"/>
      </w:rPr>
    </w:lvl>
  </w:abstractNum>
  <w:abstractNum w:abstractNumId="746100">
    <w:lvl>
      <w:numFmt w:val="bullet"/>
      <w:suff w:val="tab"/>
      <w:lvlText w:val="￮"/>
      <w:rPr>
        <w:color w:val="3370ff"/>
      </w:rPr>
    </w:lvl>
  </w:abstractNum>
  <w:abstractNum w:abstractNumId="746101">
    <w:lvl>
      <w:numFmt w:val="bullet"/>
      <w:suff w:val="tab"/>
      <w:lvlText w:val="￮"/>
      <w:rPr>
        <w:color w:val="3370ff"/>
      </w:rPr>
    </w:lvl>
  </w:abstractNum>
  <w:abstractNum w:abstractNumId="746102">
    <w:lvl>
      <w:start w:val="7"/>
      <w:numFmt w:val="decimal"/>
      <w:suff w:val="tab"/>
      <w:lvlText w:val="%1."/>
      <w:rPr>
        <w:color w:val="3370ff"/>
      </w:rPr>
    </w:lvl>
  </w:abstractNum>
  <w:abstractNum w:abstractNumId="746103">
    <w:lvl>
      <w:start w:val="1"/>
      <w:numFmt w:val="decimal"/>
      <w:suff w:val="tab"/>
      <w:lvlText w:val="%1."/>
      <w:rPr>
        <w:color w:val="3370ff"/>
      </w:rPr>
    </w:lvl>
  </w:abstractNum>
  <w:abstractNum w:abstractNumId="746104">
    <w:lvl>
      <w:start w:val="2"/>
      <w:numFmt w:val="decimal"/>
      <w:suff w:val="tab"/>
      <w:lvlText w:val="%1."/>
      <w:rPr>
        <w:color w:val="3370ff"/>
      </w:rPr>
    </w:lvl>
  </w:abstractNum>
  <w:abstractNum w:abstractNumId="746105">
    <w:lvl>
      <w:start w:val="3"/>
      <w:numFmt w:val="decimal"/>
      <w:suff w:val="tab"/>
      <w:lvlText w:val="%1."/>
      <w:rPr>
        <w:color w:val="3370ff"/>
      </w:rPr>
    </w:lvl>
  </w:abstractNum>
  <w:abstractNum w:abstractNumId="746106">
    <w:lvl>
      <w:start w:val="4"/>
      <w:numFmt w:val="decimal"/>
      <w:suff w:val="tab"/>
      <w:lvlText w:val="%1."/>
      <w:rPr>
        <w:color w:val="3370ff"/>
      </w:rPr>
    </w:lvl>
  </w:abstractNum>
  <w:abstractNum w:abstractNumId="746107">
    <w:lvl>
      <w:start w:val="5"/>
      <w:numFmt w:val="decimal"/>
      <w:suff w:val="tab"/>
      <w:lvlText w:val="%1."/>
      <w:rPr>
        <w:color w:val="3370ff"/>
      </w:rPr>
    </w:lvl>
  </w:abstractNum>
  <w:abstractNum w:abstractNumId="746108">
    <w:lvl>
      <w:start w:val="6"/>
      <w:numFmt w:val="decimal"/>
      <w:suff w:val="tab"/>
      <w:lvlText w:val="%1."/>
      <w:rPr>
        <w:color w:val="3370ff"/>
      </w:rPr>
    </w:lvl>
  </w:abstractNum>
  <w:abstractNum w:abstractNumId="746109">
    <w:lvl>
      <w:numFmt w:val="bullet"/>
      <w:suff w:val="tab"/>
      <w:lvlText w:val="•"/>
      <w:rPr>
        <w:color w:val="3370ff"/>
      </w:rPr>
    </w:lvl>
  </w:abstractNum>
  <w:abstractNum w:abstractNumId="746110">
    <w:lvl>
      <w:numFmt w:val="bullet"/>
      <w:suff w:val="tab"/>
      <w:lvlText w:val="•"/>
      <w:rPr>
        <w:color w:val="3370ff"/>
      </w:rPr>
    </w:lvl>
  </w:abstractNum>
  <w:abstractNum w:abstractNumId="746111">
    <w:lvl>
      <w:numFmt w:val="bullet"/>
      <w:suff w:val="tab"/>
      <w:lvlText w:val="•"/>
      <w:rPr>
        <w:color w:val="3370ff"/>
      </w:rPr>
    </w:lvl>
  </w:abstractNum>
  <w:abstractNum w:abstractNumId="746112">
    <w:lvl>
      <w:numFmt w:val="bullet"/>
      <w:suff w:val="tab"/>
      <w:lvlText w:val="•"/>
      <w:rPr>
        <w:color w:val="3370ff"/>
      </w:rPr>
    </w:lvl>
  </w:abstractNum>
  <w:abstractNum w:abstractNumId="746113">
    <w:lvl>
      <w:numFmt w:val="bullet"/>
      <w:suff w:val="tab"/>
      <w:lvlText w:val="•"/>
      <w:rPr>
        <w:color w:val="3370ff"/>
      </w:rPr>
    </w:lvl>
  </w:abstractNum>
  <w:abstractNum w:abstractNumId="746114">
    <w:lvl>
      <w:numFmt w:val="bullet"/>
      <w:suff w:val="tab"/>
      <w:lvlText w:val="•"/>
      <w:rPr>
        <w:color w:val="3370ff"/>
      </w:rPr>
    </w:lvl>
  </w:abstractNum>
  <w:abstractNum w:abstractNumId="746115">
    <w:lvl>
      <w:numFmt w:val="bullet"/>
      <w:suff w:val="tab"/>
      <w:lvlText w:val="•"/>
      <w:rPr>
        <w:color w:val="3370ff"/>
      </w:rPr>
    </w:lvl>
  </w:abstractNum>
  <w:abstractNum w:abstractNumId="746116">
    <w:lvl>
      <w:numFmt w:val="bullet"/>
      <w:suff w:val="tab"/>
      <w:lvlText w:val="•"/>
      <w:rPr>
        <w:color w:val="3370ff"/>
      </w:rPr>
    </w:lvl>
  </w:abstractNum>
  <w:abstractNum w:abstractNumId="746117">
    <w:lvl>
      <w:numFmt w:val="bullet"/>
      <w:suff w:val="tab"/>
      <w:lvlText w:val="•"/>
      <w:rPr>
        <w:color w:val="3370ff"/>
      </w:rPr>
    </w:lvl>
  </w:abstractNum>
  <w:abstractNum w:abstractNumId="746118">
    <w:lvl>
      <w:numFmt w:val="bullet"/>
      <w:suff w:val="tab"/>
      <w:lvlText w:val="•"/>
      <w:rPr>
        <w:color w:val="3370ff"/>
      </w:rPr>
    </w:lvl>
  </w:abstractNum>
  <w:abstractNum w:abstractNumId="746119">
    <w:lvl>
      <w:numFmt w:val="bullet"/>
      <w:suff w:val="tab"/>
      <w:lvlText w:val="•"/>
      <w:rPr>
        <w:color w:val="3370ff"/>
      </w:rPr>
    </w:lvl>
  </w:abstractNum>
  <w:abstractNum w:abstractNumId="746120">
    <w:lvl>
      <w:numFmt w:val="bullet"/>
      <w:suff w:val="tab"/>
      <w:lvlText w:val="•"/>
      <w:rPr>
        <w:color w:val="3370ff"/>
      </w:rPr>
    </w:lvl>
  </w:abstractNum>
  <w:abstractNum w:abstractNumId="746121">
    <w:lvl>
      <w:numFmt w:val="bullet"/>
      <w:suff w:val="tab"/>
      <w:lvlText w:val="•"/>
      <w:rPr>
        <w:color w:val="3370ff"/>
      </w:rPr>
    </w:lvl>
  </w:abstractNum>
  <w:abstractNum w:abstractNumId="746122">
    <w:lvl>
      <w:numFmt w:val="bullet"/>
      <w:suff w:val="tab"/>
      <w:lvlText w:val="•"/>
      <w:rPr>
        <w:color w:val="3370ff"/>
      </w:rPr>
    </w:lvl>
  </w:abstractNum>
  <w:abstractNum w:abstractNumId="746123">
    <w:lvl>
      <w:numFmt w:val="bullet"/>
      <w:suff w:val="tab"/>
      <w:lvlText w:val="•"/>
      <w:rPr>
        <w:color w:val="3370ff"/>
      </w:rPr>
    </w:lvl>
  </w:abstractNum>
  <w:num w:numId="1">
    <w:abstractNumId w:val="745968"/>
  </w:num>
  <w:num w:numId="2">
    <w:abstractNumId w:val="745969"/>
  </w:num>
  <w:num w:numId="3">
    <w:abstractNumId w:val="745970"/>
  </w:num>
  <w:num w:numId="4">
    <w:abstractNumId w:val="745971"/>
  </w:num>
  <w:num w:numId="5">
    <w:abstractNumId w:val="745972"/>
  </w:num>
  <w:num w:numId="6">
    <w:abstractNumId w:val="745973"/>
  </w:num>
  <w:num w:numId="7">
    <w:abstractNumId w:val="745974"/>
  </w:num>
  <w:num w:numId="8">
    <w:abstractNumId w:val="745975"/>
  </w:num>
  <w:num w:numId="9">
    <w:abstractNumId w:val="745976"/>
  </w:num>
  <w:num w:numId="10">
    <w:abstractNumId w:val="745977"/>
  </w:num>
  <w:num w:numId="11">
    <w:abstractNumId w:val="745978"/>
  </w:num>
  <w:num w:numId="12">
    <w:abstractNumId w:val="745979"/>
  </w:num>
  <w:num w:numId="13">
    <w:abstractNumId w:val="745980"/>
  </w:num>
  <w:num w:numId="14">
    <w:abstractNumId w:val="745981"/>
  </w:num>
  <w:num w:numId="15">
    <w:abstractNumId w:val="745982"/>
  </w:num>
  <w:num w:numId="16">
    <w:abstractNumId w:val="745983"/>
  </w:num>
  <w:num w:numId="17">
    <w:abstractNumId w:val="745984"/>
  </w:num>
  <w:num w:numId="18">
    <w:abstractNumId w:val="745985"/>
  </w:num>
  <w:num w:numId="19">
    <w:abstractNumId w:val="745986"/>
  </w:num>
  <w:num w:numId="20">
    <w:abstractNumId w:val="745987"/>
  </w:num>
  <w:num w:numId="21">
    <w:abstractNumId w:val="745988"/>
  </w:num>
  <w:num w:numId="22">
    <w:abstractNumId w:val="745989"/>
  </w:num>
  <w:num w:numId="23">
    <w:abstractNumId w:val="745990"/>
  </w:num>
  <w:num w:numId="24">
    <w:abstractNumId w:val="745991"/>
  </w:num>
  <w:num w:numId="25">
    <w:abstractNumId w:val="745992"/>
  </w:num>
  <w:num w:numId="26">
    <w:abstractNumId w:val="745993"/>
  </w:num>
  <w:num w:numId="27">
    <w:abstractNumId w:val="745994"/>
  </w:num>
  <w:num w:numId="28">
    <w:abstractNumId w:val="745995"/>
  </w:num>
  <w:num w:numId="29">
    <w:abstractNumId w:val="745996"/>
  </w:num>
  <w:num w:numId="30">
    <w:abstractNumId w:val="745997"/>
  </w:num>
  <w:num w:numId="31">
    <w:abstractNumId w:val="745998"/>
  </w:num>
  <w:num w:numId="32">
    <w:abstractNumId w:val="745999"/>
  </w:num>
  <w:num w:numId="33">
    <w:abstractNumId w:val="746000"/>
  </w:num>
  <w:num w:numId="34">
    <w:abstractNumId w:val="746001"/>
  </w:num>
  <w:num w:numId="35">
    <w:abstractNumId w:val="746002"/>
  </w:num>
  <w:num w:numId="36">
    <w:abstractNumId w:val="746003"/>
  </w:num>
  <w:num w:numId="37">
    <w:abstractNumId w:val="746004"/>
  </w:num>
  <w:num w:numId="38">
    <w:abstractNumId w:val="746005"/>
  </w:num>
  <w:num w:numId="39">
    <w:abstractNumId w:val="746006"/>
  </w:num>
  <w:num w:numId="40">
    <w:abstractNumId w:val="746007"/>
  </w:num>
  <w:num w:numId="41">
    <w:abstractNumId w:val="746008"/>
  </w:num>
  <w:num w:numId="42">
    <w:abstractNumId w:val="746009"/>
  </w:num>
  <w:num w:numId="43">
    <w:abstractNumId w:val="746010"/>
  </w:num>
  <w:num w:numId="44">
    <w:abstractNumId w:val="746011"/>
  </w:num>
  <w:num w:numId="45">
    <w:abstractNumId w:val="746012"/>
  </w:num>
  <w:num w:numId="46">
    <w:abstractNumId w:val="746013"/>
  </w:num>
  <w:num w:numId="47">
    <w:abstractNumId w:val="746014"/>
  </w:num>
  <w:num w:numId="48">
    <w:abstractNumId w:val="746015"/>
  </w:num>
  <w:num w:numId="49">
    <w:abstractNumId w:val="746016"/>
  </w:num>
  <w:num w:numId="50">
    <w:abstractNumId w:val="746017"/>
  </w:num>
  <w:num w:numId="51">
    <w:abstractNumId w:val="746018"/>
  </w:num>
  <w:num w:numId="52">
    <w:abstractNumId w:val="746019"/>
  </w:num>
  <w:num w:numId="53">
    <w:abstractNumId w:val="746020"/>
  </w:num>
  <w:num w:numId="54">
    <w:abstractNumId w:val="746021"/>
  </w:num>
  <w:num w:numId="55">
    <w:abstractNumId w:val="746022"/>
  </w:num>
  <w:num w:numId="56">
    <w:abstractNumId w:val="746023"/>
  </w:num>
  <w:num w:numId="57">
    <w:abstractNumId w:val="746024"/>
  </w:num>
  <w:num w:numId="58">
    <w:abstractNumId w:val="746025"/>
  </w:num>
  <w:num w:numId="59">
    <w:abstractNumId w:val="746026"/>
  </w:num>
  <w:num w:numId="60">
    <w:abstractNumId w:val="746027"/>
  </w:num>
  <w:num w:numId="61">
    <w:abstractNumId w:val="746028"/>
  </w:num>
  <w:num w:numId="62">
    <w:abstractNumId w:val="746029"/>
  </w:num>
  <w:num w:numId="63">
    <w:abstractNumId w:val="746030"/>
  </w:num>
  <w:num w:numId="64">
    <w:abstractNumId w:val="746031"/>
  </w:num>
  <w:num w:numId="65">
    <w:abstractNumId w:val="746032"/>
  </w:num>
  <w:num w:numId="66">
    <w:abstractNumId w:val="746033"/>
  </w:num>
  <w:num w:numId="67">
    <w:abstractNumId w:val="746034"/>
  </w:num>
  <w:num w:numId="68">
    <w:abstractNumId w:val="746035"/>
  </w:num>
  <w:num w:numId="69">
    <w:abstractNumId w:val="746036"/>
  </w:num>
  <w:num w:numId="70">
    <w:abstractNumId w:val="746037"/>
  </w:num>
  <w:num w:numId="71">
    <w:abstractNumId w:val="746038"/>
  </w:num>
  <w:num w:numId="72">
    <w:abstractNumId w:val="746039"/>
  </w:num>
  <w:num w:numId="73">
    <w:abstractNumId w:val="746040"/>
  </w:num>
  <w:num w:numId="74">
    <w:abstractNumId w:val="746041"/>
  </w:num>
  <w:num w:numId="75">
    <w:abstractNumId w:val="746042"/>
  </w:num>
  <w:num w:numId="76">
    <w:abstractNumId w:val="746043"/>
  </w:num>
  <w:num w:numId="77">
    <w:abstractNumId w:val="746044"/>
  </w:num>
  <w:num w:numId="78">
    <w:abstractNumId w:val="746045"/>
  </w:num>
  <w:num w:numId="79">
    <w:abstractNumId w:val="746046"/>
  </w:num>
  <w:num w:numId="80">
    <w:abstractNumId w:val="746047"/>
  </w:num>
  <w:num w:numId="81">
    <w:abstractNumId w:val="746048"/>
  </w:num>
  <w:num w:numId="82">
    <w:abstractNumId w:val="746049"/>
  </w:num>
  <w:num w:numId="83">
    <w:abstractNumId w:val="746050"/>
  </w:num>
  <w:num w:numId="84">
    <w:abstractNumId w:val="746051"/>
  </w:num>
  <w:num w:numId="85">
    <w:abstractNumId w:val="746052"/>
  </w:num>
  <w:num w:numId="86">
    <w:abstractNumId w:val="746053"/>
  </w:num>
  <w:num w:numId="87">
    <w:abstractNumId w:val="746054"/>
  </w:num>
  <w:num w:numId="88">
    <w:abstractNumId w:val="746055"/>
  </w:num>
  <w:num w:numId="89">
    <w:abstractNumId w:val="746056"/>
  </w:num>
  <w:num w:numId="90">
    <w:abstractNumId w:val="746057"/>
  </w:num>
  <w:num w:numId="91">
    <w:abstractNumId w:val="746058"/>
  </w:num>
  <w:num w:numId="92">
    <w:abstractNumId w:val="746059"/>
  </w:num>
  <w:num w:numId="93">
    <w:abstractNumId w:val="746060"/>
  </w:num>
  <w:num w:numId="94">
    <w:abstractNumId w:val="746061"/>
  </w:num>
  <w:num w:numId="95">
    <w:abstractNumId w:val="746062"/>
  </w:num>
  <w:num w:numId="96">
    <w:abstractNumId w:val="746063"/>
  </w:num>
  <w:num w:numId="97">
    <w:abstractNumId w:val="746064"/>
  </w:num>
  <w:num w:numId="98">
    <w:abstractNumId w:val="746065"/>
  </w:num>
  <w:num w:numId="99">
    <w:abstractNumId w:val="746066"/>
  </w:num>
  <w:num w:numId="100">
    <w:abstractNumId w:val="746067"/>
  </w:num>
  <w:num w:numId="101">
    <w:abstractNumId w:val="746068"/>
  </w:num>
  <w:num w:numId="102">
    <w:abstractNumId w:val="746069"/>
  </w:num>
  <w:num w:numId="103">
    <w:abstractNumId w:val="746070"/>
  </w:num>
  <w:num w:numId="104">
    <w:abstractNumId w:val="746071"/>
  </w:num>
  <w:num w:numId="105">
    <w:abstractNumId w:val="746072"/>
  </w:num>
  <w:num w:numId="106">
    <w:abstractNumId w:val="746073"/>
  </w:num>
  <w:num w:numId="107">
    <w:abstractNumId w:val="746074"/>
  </w:num>
  <w:num w:numId="108">
    <w:abstractNumId w:val="746075"/>
  </w:num>
  <w:num w:numId="109">
    <w:abstractNumId w:val="746076"/>
  </w:num>
  <w:num w:numId="110">
    <w:abstractNumId w:val="746077"/>
  </w:num>
  <w:num w:numId="111">
    <w:abstractNumId w:val="746078"/>
  </w:num>
  <w:num w:numId="112">
    <w:abstractNumId w:val="746079"/>
  </w:num>
  <w:num w:numId="113">
    <w:abstractNumId w:val="746080"/>
  </w:num>
  <w:num w:numId="114">
    <w:abstractNumId w:val="746081"/>
  </w:num>
  <w:num w:numId="115">
    <w:abstractNumId w:val="746082"/>
  </w:num>
  <w:num w:numId="116">
    <w:abstractNumId w:val="746083"/>
  </w:num>
  <w:num w:numId="117">
    <w:abstractNumId w:val="746084"/>
  </w:num>
  <w:num w:numId="118">
    <w:abstractNumId w:val="746085"/>
  </w:num>
  <w:num w:numId="119">
    <w:abstractNumId w:val="746086"/>
  </w:num>
  <w:num w:numId="120">
    <w:abstractNumId w:val="746087"/>
  </w:num>
  <w:num w:numId="121">
    <w:abstractNumId w:val="746088"/>
  </w:num>
  <w:num w:numId="122">
    <w:abstractNumId w:val="746089"/>
  </w:num>
  <w:num w:numId="123">
    <w:abstractNumId w:val="746090"/>
  </w:num>
  <w:num w:numId="124">
    <w:abstractNumId w:val="746091"/>
  </w:num>
  <w:num w:numId="125">
    <w:abstractNumId w:val="746092"/>
  </w:num>
  <w:num w:numId="126">
    <w:abstractNumId w:val="746093"/>
  </w:num>
  <w:num w:numId="127">
    <w:abstractNumId w:val="746094"/>
  </w:num>
  <w:num w:numId="128">
    <w:abstractNumId w:val="746095"/>
  </w:num>
  <w:num w:numId="129">
    <w:abstractNumId w:val="746096"/>
  </w:num>
  <w:num w:numId="130">
    <w:abstractNumId w:val="746097"/>
  </w:num>
  <w:num w:numId="131">
    <w:abstractNumId w:val="746098"/>
  </w:num>
  <w:num w:numId="132">
    <w:abstractNumId w:val="746099"/>
  </w:num>
  <w:num w:numId="133">
    <w:abstractNumId w:val="746100"/>
  </w:num>
  <w:num w:numId="134">
    <w:abstractNumId w:val="746101"/>
  </w:num>
  <w:num w:numId="135">
    <w:abstractNumId w:val="746102"/>
  </w:num>
  <w:num w:numId="136">
    <w:abstractNumId w:val="746103"/>
  </w:num>
  <w:num w:numId="137">
    <w:abstractNumId w:val="746104"/>
  </w:num>
  <w:num w:numId="138">
    <w:abstractNumId w:val="746105"/>
  </w:num>
  <w:num w:numId="139">
    <w:abstractNumId w:val="746106"/>
  </w:num>
  <w:num w:numId="140">
    <w:abstractNumId w:val="746107"/>
  </w:num>
  <w:num w:numId="141">
    <w:abstractNumId w:val="746108"/>
  </w:num>
  <w:num w:numId="142">
    <w:abstractNumId w:val="746109"/>
  </w:num>
  <w:num w:numId="143">
    <w:abstractNumId w:val="746110"/>
  </w:num>
  <w:num w:numId="144">
    <w:abstractNumId w:val="746111"/>
  </w:num>
  <w:num w:numId="145">
    <w:abstractNumId w:val="746112"/>
  </w:num>
  <w:num w:numId="146">
    <w:abstractNumId w:val="746113"/>
  </w:num>
  <w:num w:numId="147">
    <w:abstractNumId w:val="746114"/>
  </w:num>
  <w:num w:numId="148">
    <w:abstractNumId w:val="746115"/>
  </w:num>
  <w:num w:numId="149">
    <w:abstractNumId w:val="746116"/>
  </w:num>
  <w:num w:numId="150">
    <w:abstractNumId w:val="746117"/>
  </w:num>
  <w:num w:numId="151">
    <w:abstractNumId w:val="746118"/>
  </w:num>
  <w:num w:numId="152">
    <w:abstractNumId w:val="746119"/>
  </w:num>
  <w:num w:numId="153">
    <w:abstractNumId w:val="746120"/>
  </w:num>
  <w:num w:numId="154">
    <w:abstractNumId w:val="746121"/>
  </w:num>
  <w:num w:numId="155">
    <w:abstractNumId w:val="746122"/>
  </w:num>
  <w:num w:numId="156">
    <w:abstractNumId w:val="74612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embeddings/Microsoft_Excel_Worksheet6.xlsx" Type="http://schemas.openxmlformats.org/officeDocument/2006/relationships/package"/><Relationship Id="rId16" Target="media/image6.png" Type="http://schemas.openxmlformats.org/officeDocument/2006/relationships/image"/><Relationship Id="rId17" Target="embeddings/Microsoft_Excel_Worksheet7.xlsx" Type="http://schemas.openxmlformats.org/officeDocument/2006/relationships/package"/><Relationship Id="rId18" Target="media/image7.png" Type="http://schemas.openxmlformats.org/officeDocument/2006/relationships/image"/><Relationship Id="rId19" Target="embeddings/Microsoft_Excel_Worksheet8.xlsx" Type="http://schemas.openxmlformats.org/officeDocument/2006/relationships/package"/><Relationship Id="rId2" Target="styles.xml" Type="http://schemas.openxmlformats.org/officeDocument/2006/relationships/styles"/><Relationship Id="rId20" Target="media/image8.png" Type="http://schemas.openxmlformats.org/officeDocument/2006/relationships/image"/><Relationship Id="rId21" Target="header1.xml" Type="http://schemas.openxmlformats.org/officeDocument/2006/relationships/header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word/_rels/header1.xml.rels><?xml version="1.0" encoding="UTF-8" standalone="yes"?><Relationships xmlns="http://schemas.openxmlformats.org/package/2006/relationships"><Relationship Id="rId1" Target="media/image9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2026-03-10T06:37:49Z</dcterms:created>
  <dc:creator>Apache POI</dc:creator>
</cp:coreProperties>
</file>