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2100"/>
        <w:gridCol w:w="2966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Format</w:t>
            </w:r>
          </w:p>
        </w:tc>
        <w:tc>
          <w:tcPr>
            <w:tcW w:type="dxa" w:w="31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Dates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Duration</w:t>
            </w:r>
          </w:p>
        </w:tc>
        <w:tc>
          <w:tcPr>
            <w:tcW w:type="dxa" w:w="296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Certificate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Virtual / Online</w:t>
            </w:r>
          </w:p>
        </w:tc>
        <w:tc>
          <w:tcPr>
            <w:tcW w:type="dxa" w:w="31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2 – 4 September 2026</w:t>
            </w:r>
          </w:p>
        </w:tc>
        <w:tc>
          <w:tcPr>
            <w:tcW w:type="dxa" w:w="21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3 Days</w:t>
            </w:r>
          </w:p>
        </w:tc>
        <w:tc>
          <w:tcPr>
            <w:tcW w:type="dxa" w:w="296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On Completion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ListParagraph"/>
        <w:numPr>
          <w:ilvl w:val="0"/>
          <w:numId w:val="2"/>
        </w:numPr>
      </w:pPr>
      <w:r>
        <w:t xml:space="preserve">Existing and aspiring Chief Operating Officers</w:t>
      </w:r>
    </w:p>
    <w:p>
      <w:pPr>
        <w:pStyle w:val="ListParagraph"/>
        <w:numPr>
          <w:ilvl w:val="0"/>
          <w:numId w:val="2"/>
        </w:numPr>
      </w:pPr>
      <w:r>
        <w:t xml:space="preserve">Heads of Operations</w:t>
      </w:r>
    </w:p>
    <w:p>
      <w:pPr>
        <w:pStyle w:val="ListParagraph"/>
        <w:numPr>
          <w:ilvl w:val="0"/>
          <w:numId w:val="2"/>
        </w:numPr>
      </w:pPr>
      <w:r>
        <w:t xml:space="preserve">Risk Managers and Risk Directors</w:t>
      </w:r>
    </w:p>
    <w:p>
      <w:pPr>
        <w:pStyle w:val="ListParagraph"/>
        <w:numPr>
          <w:ilvl w:val="0"/>
          <w:numId w:val="2"/>
        </w:numPr>
      </w:pPr>
      <w:r>
        <w:t xml:space="preserve">Control Function Managers</w:t>
      </w:r>
    </w:p>
    <w:p>
      <w:pPr>
        <w:pStyle w:val="ListParagraph"/>
        <w:numPr>
          <w:ilvl w:val="0"/>
          <w:numId w:val="2"/>
        </w:numPr>
      </w:pPr>
      <w:r>
        <w:t xml:space="preserve">Senior Executives preparing for broader leadership responsibilities</w:t>
      </w:r>
    </w:p>
    <w:p>
      <w:pPr>
        <w:pStyle w:val="Heading1"/>
      </w:pPr>
      <w:r>
        <w:t xml:space="preserve">The Certificate</w:t>
      </w:r>
    </w:p>
    <w:p>
      <w:pPr>
        <w:pStyle w:val="Lead"/>
        <w:pBdr>
          <w:left w:val="single" w:color="0C2C5A" w:sz="18" w:space="8"/>
        </w:pBdr>
        <w:shd w:fill="F3F6FB" w:color="auto" w:val="clear"/>
        <w:spacing w:after="0" w:before="40"/>
        <w:ind w:left="140" w:right="140"/>
      </w:pPr>
      <w:r>
        <w:t xml:space="preserve">An EasyUphill Certificate of Completion is awarded to delegates who attend and complete the course.</w:t>
      </w:r>
    </w:p>
    <w:p>
      <w:pPr>
        <w:pStyle w:val="Closing"/>
        <w:pBdr>
          <w:left w:val="single" w:color="0C2C5A" w:sz="18" w:space="8"/>
        </w:pBdr>
        <w:shd w:fill="F3F6FB" w:color="auto" w:val="clear"/>
        <w:spacing w:after="60" w:before="40"/>
        <w:ind w:left="140" w:right="140"/>
      </w:pPr>
      <w:r>
        <w:t xml:space="preserve">Develop the capabilities required to excel as a modern Chief Operating Officer, and become a driving force behind organisational success.</w:t>
      </w:r>
    </w:p>
    <w:p>
      <w:r>
        <w:br w:type="page"/>
      </w:r>
    </w:p>
    <w:p>
      <w:pPr>
        <w:pStyle w:val="Heading1"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2026-08-24T07:32:52.770Z</dcterms:created>
  <dcterms:modified xsi:type="dcterms:W3CDTF">2026-08-24T07:32:52.771Z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