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Executive Development Programme</w:t>
      </w:r>
    </w:p>
    <w:p>
      <w:pPr>
        <w:pStyle w:val="Title"/>
      </w:pPr>
      <w:r>
        <w:t xml:space="preserve">Chief Operating Officer (COO) Programme</w:t>
      </w:r>
    </w:p>
    <w:p>
      <w:pPr>
        <w:pStyle w:val="Standfirst"/>
      </w:pPr>
      <w:r>
        <w:t xml:space="preserve">Drive operational excellence and strategic transformation: master the leadership, innovation and governance required to perform at board level.</w:t>
      </w:r>
    </w:p>
    <w:p>
      <w:pPr>
        <w:pStyle w:val="Heading1"/>
      </w:pPr>
      <w:r>
        <w:t xml:space="preserve">2026 Course Calendar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800"/>
        <w:gridCol w:w="2466"/>
      </w:tblGrid>
      <w:tr>
        <w:trPr>
          <w:tblHeader/>
        </w:trPr>
        <w:tc>
          <w:tcPr>
            <w:tcW w:type="dxa" w:w="5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0C2C5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pStyle w:val="TableHead"/>
              <w:spacing w:after="0" w:before="0"/>
              <w:jc w:val="left"/>
            </w:pPr>
            <w:r>
              <w:t xml:space="preserve">Dates</w:t>
            </w:r>
          </w:p>
        </w:tc>
        <w:tc>
          <w:tcPr>
            <w:tcW w:type="dxa" w:w="28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0C2C5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pStyle w:val="TableHead"/>
              <w:spacing w:after="0" w:before="0"/>
              <w:jc w:val="left"/>
            </w:pPr>
            <w:r>
              <w:t xml:space="preserve">Venue</w:t>
            </w:r>
          </w:p>
        </w:tc>
        <w:tc>
          <w:tcPr>
            <w:tcW w:type="dxa" w:w="2466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0C2C5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pStyle w:val="TableHead"/>
              <w:spacing w:after="0" w:before="0"/>
              <w:jc w:val="right"/>
            </w:pPr>
            <w:r>
              <w:t xml:space="preserve">Fee</w:t>
            </w:r>
          </w:p>
        </w:tc>
      </w:tr>
      <w:tr>
        <w:tc>
          <w:tcPr>
            <w:tcW w:type="dxa" w:w="5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/>
                <w:bCs/>
                <w:color w:val="0C2C5A"/>
              </w:rPr>
              <w:t xml:space="preserve">31 August to 2 September 2026</w:t>
            </w:r>
          </w:p>
        </w:tc>
        <w:tc>
          <w:tcPr>
            <w:tcW w:type="dxa" w:w="28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 w:val="false"/>
                <w:bCs w:val="false"/>
                <w:color w:val="141A22"/>
              </w:rPr>
              <w:t xml:space="preserve">Online</w:t>
            </w:r>
          </w:p>
        </w:tc>
        <w:tc>
          <w:tcPr>
            <w:tcW w:type="dxa" w:w="2466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right"/>
            </w:pPr>
            <w:r>
              <w:rPr>
                <w:b/>
                <w:bCs/>
                <w:color w:val="0C2C5A"/>
              </w:rPr>
              <w:t xml:space="preserve">R13,000</w:t>
            </w:r>
          </w:p>
        </w:tc>
      </w:tr>
      <w:tr>
        <w:tc>
          <w:tcPr>
            <w:tcW w:type="dxa" w:w="5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/>
                <w:bCs/>
                <w:color w:val="0C2C5A"/>
              </w:rPr>
              <w:t xml:space="preserve">14 to 16 September 2026</w:t>
            </w:r>
          </w:p>
        </w:tc>
        <w:tc>
          <w:tcPr>
            <w:tcW w:type="dxa" w:w="28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 w:val="false"/>
                <w:bCs w:val="false"/>
                <w:color w:val="141A22"/>
              </w:rPr>
              <w:t xml:space="preserve">Online</w:t>
            </w:r>
          </w:p>
        </w:tc>
        <w:tc>
          <w:tcPr>
            <w:tcW w:type="dxa" w:w="2466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right"/>
            </w:pPr>
            <w:r>
              <w:rPr>
                <w:b/>
                <w:bCs/>
                <w:color w:val="0C2C5A"/>
              </w:rPr>
              <w:t xml:space="preserve">R13,000</w:t>
            </w:r>
          </w:p>
        </w:tc>
      </w:tr>
      <w:tr>
        <w:tc>
          <w:tcPr>
            <w:tcW w:type="dxa" w:w="5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/>
                <w:bCs/>
                <w:color w:val="0C2C5A"/>
              </w:rPr>
              <w:t xml:space="preserve">28 to 30 September 2026</w:t>
            </w:r>
          </w:p>
        </w:tc>
        <w:tc>
          <w:tcPr>
            <w:tcW w:type="dxa" w:w="28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 w:val="false"/>
                <w:bCs w:val="false"/>
                <w:color w:val="141A22"/>
              </w:rPr>
              <w:t xml:space="preserve">Online</w:t>
            </w:r>
          </w:p>
        </w:tc>
        <w:tc>
          <w:tcPr>
            <w:tcW w:type="dxa" w:w="2466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right"/>
            </w:pPr>
            <w:r>
              <w:rPr>
                <w:b/>
                <w:bCs/>
                <w:color w:val="0C2C5A"/>
              </w:rPr>
              <w:t xml:space="preserve">R13,000</w:t>
            </w:r>
          </w:p>
        </w:tc>
      </w:tr>
      <w:tr>
        <w:tc>
          <w:tcPr>
            <w:tcW w:type="dxa" w:w="5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/>
                <w:bCs/>
                <w:color w:val="0C2C5A"/>
              </w:rPr>
              <w:t xml:space="preserve">12 to 14 October 2026</w:t>
            </w:r>
          </w:p>
        </w:tc>
        <w:tc>
          <w:tcPr>
            <w:tcW w:type="dxa" w:w="28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 w:val="false"/>
                <w:bCs w:val="false"/>
                <w:color w:val="141A22"/>
              </w:rPr>
              <w:t xml:space="preserve">Online</w:t>
            </w:r>
          </w:p>
        </w:tc>
        <w:tc>
          <w:tcPr>
            <w:tcW w:type="dxa" w:w="2466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right"/>
            </w:pPr>
            <w:r>
              <w:rPr>
                <w:b/>
                <w:bCs/>
                <w:color w:val="0C2C5A"/>
              </w:rPr>
              <w:t xml:space="preserve">R13,000</w:t>
            </w:r>
          </w:p>
        </w:tc>
      </w:tr>
      <w:tr>
        <w:tc>
          <w:tcPr>
            <w:tcW w:type="dxa" w:w="5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/>
                <w:bCs/>
                <w:color w:val="0C2C5A"/>
              </w:rPr>
              <w:t xml:space="preserve">26 to 28 October 2026</w:t>
            </w:r>
          </w:p>
        </w:tc>
        <w:tc>
          <w:tcPr>
            <w:tcW w:type="dxa" w:w="28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 w:val="false"/>
                <w:bCs w:val="false"/>
                <w:color w:val="141A22"/>
              </w:rPr>
              <w:t xml:space="preserve">Online</w:t>
            </w:r>
          </w:p>
        </w:tc>
        <w:tc>
          <w:tcPr>
            <w:tcW w:type="dxa" w:w="2466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right"/>
            </w:pPr>
            <w:r>
              <w:rPr>
                <w:b/>
                <w:bCs/>
                <w:color w:val="0C2C5A"/>
              </w:rPr>
              <w:t xml:space="preserve">R13,000</w:t>
            </w:r>
          </w:p>
        </w:tc>
      </w:tr>
      <w:tr>
        <w:tc>
          <w:tcPr>
            <w:tcW w:type="dxa" w:w="5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/>
                <w:bCs/>
                <w:color w:val="0C2C5A"/>
              </w:rPr>
              <w:t xml:space="preserve">9 to 11 November 2026</w:t>
            </w:r>
          </w:p>
        </w:tc>
        <w:tc>
          <w:tcPr>
            <w:tcW w:type="dxa" w:w="28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 w:val="false"/>
                <w:bCs w:val="false"/>
                <w:color w:val="141A22"/>
              </w:rPr>
              <w:t xml:space="preserve">Online</w:t>
            </w:r>
          </w:p>
        </w:tc>
        <w:tc>
          <w:tcPr>
            <w:tcW w:type="dxa" w:w="2466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right"/>
            </w:pPr>
            <w:r>
              <w:rPr>
                <w:b/>
                <w:bCs/>
                <w:color w:val="0C2C5A"/>
              </w:rPr>
              <w:t xml:space="preserve">R13,000</w:t>
            </w:r>
          </w:p>
        </w:tc>
      </w:tr>
      <w:tr>
        <w:tc>
          <w:tcPr>
            <w:tcW w:type="dxa" w:w="5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/>
                <w:bCs/>
                <w:color w:val="0C2C5A"/>
              </w:rPr>
              <w:t xml:space="preserve">23 to 25 November 2026</w:t>
            </w:r>
          </w:p>
        </w:tc>
        <w:tc>
          <w:tcPr>
            <w:tcW w:type="dxa" w:w="28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 w:val="false"/>
                <w:bCs w:val="false"/>
                <w:color w:val="141A22"/>
              </w:rPr>
              <w:t xml:space="preserve">Online</w:t>
            </w:r>
          </w:p>
        </w:tc>
        <w:tc>
          <w:tcPr>
            <w:tcW w:type="dxa" w:w="2466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right"/>
            </w:pPr>
            <w:r>
              <w:rPr>
                <w:b/>
                <w:bCs/>
                <w:color w:val="0C2C5A"/>
              </w:rPr>
              <w:t xml:space="preserve">R13,000</w:t>
            </w:r>
          </w:p>
        </w:tc>
      </w:tr>
      <w:tr>
        <w:tc>
          <w:tcPr>
            <w:tcW w:type="dxa" w:w="52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/>
                <w:bCs/>
                <w:color w:val="0C2C5A"/>
              </w:rPr>
              <w:t xml:space="preserve">7 to 9 December 2026</w:t>
            </w:r>
          </w:p>
        </w:tc>
        <w:tc>
          <w:tcPr>
            <w:tcW w:type="dxa" w:w="2800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left"/>
            </w:pPr>
            <w:r>
              <w:rPr>
                <w:b w:val="false"/>
                <w:bCs w:val="false"/>
                <w:color w:val="141A22"/>
              </w:rPr>
              <w:t xml:space="preserve">Online</w:t>
            </w:r>
          </w:p>
        </w:tc>
        <w:tc>
          <w:tcPr>
            <w:tcW w:type="dxa" w:w="2466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  <w:spacing w:after="0" w:before="0"/>
              <w:jc w:val="right"/>
            </w:pPr>
            <w:r>
              <w:rPr>
                <w:b/>
                <w:bCs/>
                <w:color w:val="0C2C5A"/>
              </w:rPr>
              <w:t xml:space="preserve">R13,000</w:t>
            </w:r>
          </w:p>
        </w:tc>
      </w:tr>
    </w:tbl>
    <w:p>
      <w:pPr>
        <w:pStyle w:val="Meta"/>
        <w:spacing w:after="0" w:before="100"/>
      </w:pPr>
      <w:r>
        <w:t xml:space="preserve">Every session runs three days, Monday to Wednesday. Fees are per delegate and exclude 15% VAT. The fee covers tuition, course materials and a certificate of completion. More dates are available on enquiry.</w:t>
      </w:r>
    </w:p>
    <w:p>
      <w:pPr>
        <w:pStyle w:val="Heading1"/>
      </w:pPr>
      <w:r>
        <w:t xml:space="preserve">Programme Overview</w:t>
      </w:r>
    </w:p>
    <w:p>
      <w:pPr>
        <w:pStyle w:val="Lead"/>
      </w:pPr>
      <w:r>
        <w:t xml:space="preserve">The Chief Operating Officer leads an organisation's operations and logistics functions, transforming the business into a high-performing, cost-effective enterprise. It remains one of the most diverse and least understood roles in the C-suite — no two COO roles are alike. Depending on the organisation, the role may cover:</w:t>
      </w:r>
    </w:p>
    <w:p>
      <w:pPr>
        <w:pStyle w:val="ListParagraph"/>
        <w:numPr>
          <w:ilvl w:val="0"/>
          <w:numId w:val="2"/>
        </w:numPr>
      </w:pPr>
      <w:r>
        <w:t xml:space="preserve">Operations management, and IT operations</w:t>
      </w:r>
    </w:p>
    <w:p>
      <w:pPr>
        <w:pStyle w:val="ListParagraph"/>
        <w:numPr>
          <w:ilvl w:val="0"/>
          <w:numId w:val="2"/>
        </w:numPr>
      </w:pPr>
      <w:r>
        <w:t xml:space="preserve">Product management and change management</w:t>
      </w:r>
    </w:p>
    <w:p>
      <w:pPr>
        <w:pStyle w:val="ListParagraph"/>
        <w:numPr>
          <w:ilvl w:val="0"/>
          <w:numId w:val="2"/>
        </w:numPr>
      </w:pPr>
      <w:r>
        <w:t xml:space="preserve">Strategy development and execution</w:t>
      </w:r>
    </w:p>
    <w:p>
      <w:pPr>
        <w:pStyle w:val="ListParagraph"/>
        <w:numPr>
          <w:ilvl w:val="0"/>
          <w:numId w:val="2"/>
        </w:numPr>
      </w:pPr>
      <w:r>
        <w:t xml:space="preserve">Financial control and performance management</w:t>
      </w:r>
    </w:p>
    <w:p>
      <w:pPr>
        <w:pStyle w:val="ListParagraph"/>
        <w:numPr>
          <w:ilvl w:val="0"/>
          <w:numId w:val="2"/>
        </w:numPr>
      </w:pPr>
      <w:r>
        <w:t xml:space="preserve">Acting as strategic partner and second in command to the CEO</w:t>
      </w:r>
    </w:p>
    <w:p>
      <w:pPr>
        <w:pStyle w:val="Heading1"/>
      </w:pPr>
      <w:r>
        <w:t xml:space="preserve">What You Will Gain</w:t>
      </w:r>
    </w:p>
    <w:p>
      <w:pPr>
        <w:pStyle w:val="ListParagraph"/>
        <w:numPr>
          <w:ilvl w:val="0"/>
          <w:numId w:val="2"/>
        </w:numPr>
      </w:pPr>
      <w:r>
        <w:t xml:space="preserve">A working understanding of the modern COO role and how it fits within an organisation</w:t>
      </w:r>
    </w:p>
    <w:p>
      <w:pPr>
        <w:pStyle w:val="ListParagraph"/>
        <w:numPr>
          <w:ilvl w:val="0"/>
          <w:numId w:val="2"/>
        </w:numPr>
      </w:pPr>
      <w:r>
        <w:t xml:space="preserve">Clarity on the capabilities an effective COO needs, and the challenges to expect</w:t>
      </w:r>
    </w:p>
    <w:p>
      <w:pPr>
        <w:pStyle w:val="ListParagraph"/>
        <w:numPr>
          <w:ilvl w:val="0"/>
          <w:numId w:val="2"/>
        </w:numPr>
      </w:pPr>
      <w:r>
        <w:t xml:space="preserve">Practical approaches to change, strategy implementation, risk and crisis management</w:t>
      </w:r>
    </w:p>
    <w:p>
      <w:pPr>
        <w:pStyle w:val="ListParagraph"/>
        <w:numPr>
          <w:ilvl w:val="0"/>
          <w:numId w:val="2"/>
        </w:numPr>
      </w:pPr>
      <w:r>
        <w:t xml:space="preserve">Confidence in handling internal political and operational challenges</w:t>
      </w:r>
    </w:p>
    <w:p>
      <w:pPr>
        <w:pStyle w:val="ListParagraph"/>
        <w:numPr>
          <w:ilvl w:val="0"/>
          <w:numId w:val="2"/>
        </w:numPr>
      </w:pPr>
      <w:r>
        <w:t xml:space="preserve">Strategies for working effectively with boards of directors</w:t>
      </w:r>
    </w:p>
    <w:p>
      <w:pPr>
        <w:pStyle w:val="ListParagraph"/>
        <w:numPr>
          <w:ilvl w:val="0"/>
          <w:numId w:val="2"/>
        </w:numPr>
      </w:pPr>
      <w:r>
        <w:t xml:space="preserve">Stronger executive-level communication and reporting skills</w:t>
      </w:r>
    </w:p>
    <w:p>
      <w:pPr>
        <w:pStyle w:val="Heading1"/>
      </w:pPr>
      <w:r>
        <w:t xml:space="preserve">Who Should Attend</w:t>
      </w:r>
    </w:p>
    <w:p>
      <w:pPr>
        <w:pStyle w:val="Topics"/>
      </w:pPr>
      <w:r>
        <w:t xml:space="preserve">Existing and aspiring Chief Operating Officers</w:t>
      </w:r>
      <w:r>
        <w:rPr>
          <w:rStyle w:val="Separator"/>
        </w:rPr>
        <w:t xml:space="preserve">  ·  </w:t>
      </w:r>
      <w:r>
        <w:t xml:space="preserve">Heads of Operations</w:t>
      </w:r>
      <w:r>
        <w:rPr>
          <w:rStyle w:val="Separator"/>
        </w:rPr>
        <w:t xml:space="preserve">  ·  </w:t>
      </w:r>
      <w:r>
        <w:t xml:space="preserve">Risk Managers and Risk Directors</w:t>
      </w:r>
      <w:r>
        <w:rPr>
          <w:rStyle w:val="Separator"/>
        </w:rPr>
        <w:t xml:space="preserve">  ·  </w:t>
      </w:r>
      <w:r>
        <w:t xml:space="preserve">Control Function Managers</w:t>
      </w:r>
      <w:r>
        <w:rPr>
          <w:rStyle w:val="Separator"/>
        </w:rPr>
        <w:t xml:space="preserve">  ·  </w:t>
      </w:r>
      <w:r>
        <w:t xml:space="preserve">Senior Executives preparing for broader leadership responsibilities</w:t>
      </w:r>
    </w:p>
    <w:p>
      <w:pPr>
        <w:pStyle w:val="Heading1"/>
        <w:pageBreakBefore/>
      </w:pPr>
      <w:r>
        <w:t xml:space="preserve">Course Agenda</w:t>
      </w:r>
    </w:p>
    <w:p>
      <w:pPr>
        <w:pStyle w:val="Heading2"/>
        <w:pBdr>
          <w:left w:val="single" w:color="A31621" w:sz="18" w:space="8"/>
        </w:pBdr>
        <w:shd w:fill="F3F6FB" w:color="auto" w:val="clear"/>
        <w:spacing w:after="100" w:before="200"/>
        <w:ind w:left="120" w:right="120"/>
      </w:pPr>
      <w:r>
        <w:rPr>
          <w:b/>
          <w:bCs/>
          <w:color w:val="A31621"/>
          <w:spacing w:val="30"/>
          <w:sz w:val="20"/>
          <w:szCs w:val="20"/>
        </w:rPr>
        <w:t xml:space="preserve">DAY 1</w:t>
      </w:r>
      <w:r>
        <w:rPr>
          <w:sz w:val="20"/>
          <w:szCs w:val="20"/>
        </w:rPr>
        <w:t xml:space="preserve">   </w:t>
      </w:r>
      <w:r>
        <w:rPr>
          <w:b/>
          <w:bCs/>
          <w:color w:val="0C2C5A"/>
          <w:sz w:val="22"/>
          <w:szCs w:val="22"/>
        </w:rPr>
        <w:t xml:space="preserve">The COO Role, Governance and Board Dynamics</w:t>
      </w:r>
    </w:p>
    <w:p>
      <w:pPr>
        <w:pStyle w:val="Heading3"/>
      </w:pPr>
      <w:r>
        <w:t xml:space="preserve">COO Roles and Responsibilities</w:t>
      </w:r>
    </w:p>
    <w:p>
      <w:pPr>
        <w:pStyle w:val="Topics"/>
      </w:pPr>
      <w:r>
        <w:t xml:space="preserve">Introduction and programme objectives</w:t>
      </w:r>
      <w:r>
        <w:rPr>
          <w:rStyle w:val="Separator"/>
        </w:rPr>
        <w:t xml:space="preserve">  ·  </w:t>
      </w:r>
      <w:r>
        <w:t xml:space="preserve">Why organisations appoint COOs</w:t>
      </w:r>
      <w:r>
        <w:rPr>
          <w:rStyle w:val="Separator"/>
        </w:rPr>
        <w:t xml:space="preserve">  ·  </w:t>
      </w:r>
      <w:r>
        <w:t xml:space="preserve">Different types of COO role</w:t>
      </w:r>
      <w:r>
        <w:rPr>
          <w:rStyle w:val="Separator"/>
        </w:rPr>
        <w:t xml:space="preserve">  ·  </w:t>
      </w:r>
      <w:r>
        <w:t xml:space="preserve">Challenges COOs face</w:t>
      </w:r>
      <w:r>
        <w:rPr>
          <w:rStyle w:val="Separator"/>
        </w:rPr>
        <w:t xml:space="preserve">  ·  </w:t>
      </w:r>
      <w:r>
        <w:t xml:space="preserve">Managing internal stakeholders</w:t>
      </w:r>
      <w:r>
        <w:rPr>
          <w:rStyle w:val="Separator"/>
        </w:rPr>
        <w:t xml:space="preserve">  ·  </w:t>
      </w:r>
      <w:r>
        <w:t xml:space="preserve">Capabilities required for effective performance</w:t>
      </w:r>
      <w:r>
        <w:rPr>
          <w:rStyle w:val="Separator"/>
        </w:rPr>
        <w:t xml:space="preserve">  ·  </w:t>
      </w:r>
      <w:r>
        <w:t xml:space="preserve">Leading organisational change</w:t>
      </w:r>
      <w:r>
        <w:rPr>
          <w:rStyle w:val="Separator"/>
        </w:rPr>
        <w:t xml:space="preserve">  ·  </w:t>
      </w:r>
      <w:r>
        <w:t xml:space="preserve">Building influence, power and strategic relationships</w:t>
      </w:r>
    </w:p>
    <w:p>
      <w:pPr>
        <w:pStyle w:val="Heading3"/>
      </w:pPr>
      <w:r>
        <w:t xml:space="preserve">The Governance Landscape</w:t>
      </w:r>
    </w:p>
    <w:p>
      <w:pPr>
        <w:pStyle w:val="Topics"/>
      </w:pPr>
      <w:r>
        <w:t xml:space="preserve">Corporate governance frameworks and international best practice</w:t>
      </w:r>
      <w:r>
        <w:rPr>
          <w:rStyle w:val="Separator"/>
        </w:rPr>
        <w:t xml:space="preserve">  ·  </w:t>
      </w:r>
      <w:r>
        <w:t xml:space="preserve">Directors and effective boards</w:t>
      </w:r>
      <w:r>
        <w:rPr>
          <w:rStyle w:val="Separator"/>
        </w:rPr>
        <w:t xml:space="preserve">  ·  </w:t>
      </w:r>
      <w:r>
        <w:t xml:space="preserve">Working with non-executive directors</w:t>
      </w:r>
      <w:r>
        <w:rPr>
          <w:rStyle w:val="Separator"/>
        </w:rPr>
        <w:t xml:space="preserve">  ·  </w:t>
      </w:r>
      <w:r>
        <w:t xml:space="preserve">Diversity in the boardroom</w:t>
      </w:r>
      <w:r>
        <w:rPr>
          <w:rStyle w:val="Separator"/>
        </w:rPr>
        <w:t xml:space="preserve">  ·  </w:t>
      </w:r>
      <w:r>
        <w:t xml:space="preserve">Directing versus managing</w:t>
      </w:r>
      <w:r>
        <w:rPr>
          <w:rStyle w:val="Separator"/>
        </w:rPr>
        <w:t xml:space="preserve">  ·  </w:t>
      </w:r>
      <w:r>
        <w:t xml:space="preserve">The influence of parent companies and private equity investors</w:t>
      </w:r>
      <w:r>
        <w:rPr>
          <w:rStyle w:val="Separator"/>
        </w:rPr>
        <w:t xml:space="preserve">  ·  </w:t>
      </w:r>
      <w:r>
        <w:t xml:space="preserve">Governance in private companies</w:t>
      </w:r>
      <w:r>
        <w:rPr>
          <w:rStyle w:val="Separator"/>
        </w:rPr>
        <w:t xml:space="preserve">  ·  </w:t>
      </w:r>
      <w:r>
        <w:t xml:space="preserve">Board processes and the role of the Company Secretary</w:t>
      </w:r>
    </w:p>
    <w:p>
      <w:pPr>
        <w:pStyle w:val="Heading3"/>
      </w:pPr>
      <w:r>
        <w:t xml:space="preserve">Board Dynamics</w:t>
      </w:r>
    </w:p>
    <w:p>
      <w:pPr>
        <w:pStyle w:val="Topics"/>
      </w:pPr>
      <w:r>
        <w:t xml:space="preserve">Why boards operate differently</w:t>
      </w:r>
      <w:r>
        <w:rPr>
          <w:rStyle w:val="Separator"/>
        </w:rPr>
        <w:t xml:space="preserve">  ·  </w:t>
      </w:r>
      <w:r>
        <w:t xml:space="preserve">Causes of board dysfunction</w:t>
      </w:r>
      <w:r>
        <w:rPr>
          <w:rStyle w:val="Separator"/>
        </w:rPr>
        <w:t xml:space="preserve">  ·  </w:t>
      </w:r>
      <w:r>
        <w:t xml:space="preserve">The COO's role in executive collaboration</w:t>
      </w:r>
      <w:r>
        <w:rPr>
          <w:rStyle w:val="Separator"/>
        </w:rPr>
        <w:t xml:space="preserve">  ·  </w:t>
      </w:r>
      <w:r>
        <w:t xml:space="preserve">Working effectively with the CFO</w:t>
      </w:r>
      <w:r>
        <w:rPr>
          <w:rStyle w:val="Separator"/>
        </w:rPr>
        <w:t xml:space="preserve">  ·  </w:t>
      </w:r>
      <w:r>
        <w:t xml:space="preserve">Why executives fail</w:t>
      </w:r>
      <w:r>
        <w:rPr>
          <w:rStyle w:val="Separator"/>
        </w:rPr>
        <w:t xml:space="preserve">  ·  </w:t>
      </w:r>
      <w:r>
        <w:t xml:space="preserve">Characteristics of high-performing boards</w:t>
      </w:r>
      <w:r>
        <w:rPr>
          <w:rStyle w:val="Separator"/>
        </w:rPr>
        <w:t xml:space="preserve">  ·  </w:t>
      </w:r>
      <w:r>
        <w:t xml:space="preserve">Conducting board effectiveness evaluations</w:t>
      </w:r>
    </w:p>
    <w:p>
      <w:pPr>
        <w:pStyle w:val="Heading2"/>
        <w:pBdr>
          <w:left w:val="single" w:color="A31621" w:sz="18" w:space="8"/>
        </w:pBdr>
        <w:shd w:fill="F3F6FB" w:color="auto" w:val="clear"/>
        <w:spacing w:after="100" w:before="200"/>
        <w:ind w:left="120" w:right="120"/>
      </w:pPr>
      <w:r>
        <w:rPr>
          <w:b/>
          <w:bCs/>
          <w:color w:val="A31621"/>
          <w:spacing w:val="30"/>
          <w:sz w:val="20"/>
          <w:szCs w:val="20"/>
        </w:rPr>
        <w:t xml:space="preserve">DAY 2</w:t>
      </w:r>
      <w:r>
        <w:rPr>
          <w:sz w:val="20"/>
          <w:szCs w:val="20"/>
        </w:rPr>
        <w:t xml:space="preserve">   </w:t>
      </w:r>
      <w:r>
        <w:rPr>
          <w:b/>
          <w:bCs/>
          <w:color w:val="0C2C5A"/>
          <w:sz w:val="22"/>
          <w:szCs w:val="22"/>
        </w:rPr>
        <w:t xml:space="preserve">Strategy, Growth and Organisational Transformation</w:t>
      </w:r>
    </w:p>
    <w:p>
      <w:pPr>
        <w:pStyle w:val="Heading3"/>
      </w:pPr>
      <w:r>
        <w:t xml:space="preserve">Dealing with Listed Entities</w:t>
      </w:r>
    </w:p>
    <w:p>
      <w:pPr>
        <w:pStyle w:val="Topics"/>
      </w:pPr>
      <w:r>
        <w:t xml:space="preserve">Unique challenges of listed organisations</w:t>
      </w:r>
      <w:r>
        <w:rPr>
          <w:rStyle w:val="Separator"/>
        </w:rPr>
        <w:t xml:space="preserve">  ·  </w:t>
      </w:r>
      <w:r>
        <w:t xml:space="preserve">Initial Public Offerings (IPOs)</w:t>
      </w:r>
      <w:r>
        <w:rPr>
          <w:rStyle w:val="Separator"/>
        </w:rPr>
        <w:t xml:space="preserve">  ·  </w:t>
      </w:r>
      <w:r>
        <w:t xml:space="preserve">Managing organisational visibility</w:t>
      </w:r>
      <w:r>
        <w:rPr>
          <w:rStyle w:val="Separator"/>
        </w:rPr>
        <w:t xml:space="preserve">  ·  </w:t>
      </w:r>
      <w:r>
        <w:t xml:space="preserve">Investor relations</w:t>
      </w:r>
      <w:r>
        <w:rPr>
          <w:rStyle w:val="Separator"/>
        </w:rPr>
        <w:t xml:space="preserve">  ·  </w:t>
      </w:r>
      <w:r>
        <w:t xml:space="preserve">Insider trading considerations</w:t>
      </w:r>
    </w:p>
    <w:p>
      <w:pPr>
        <w:pStyle w:val="Heading3"/>
      </w:pPr>
      <w:r>
        <w:t xml:space="preserve">Formulating Strategy</w:t>
      </w:r>
    </w:p>
    <w:p>
      <w:pPr>
        <w:pStyle w:val="Topics"/>
      </w:pPr>
      <w:r>
        <w:t xml:space="preserve">The strategic planning process</w:t>
      </w:r>
      <w:r>
        <w:rPr>
          <w:rStyle w:val="Separator"/>
        </w:rPr>
        <w:t xml:space="preserve">  ·  </w:t>
      </w:r>
      <w:r>
        <w:t xml:space="preserve">Characteristics of effective strategists</w:t>
      </w:r>
      <w:r>
        <w:rPr>
          <w:rStyle w:val="Separator"/>
        </w:rPr>
        <w:t xml:space="preserve">  ·  </w:t>
      </w:r>
      <w:r>
        <w:t xml:space="preserve">The COO's involvement in strategy</w:t>
      </w:r>
      <w:r>
        <w:rPr>
          <w:rStyle w:val="Separator"/>
        </w:rPr>
        <w:t xml:space="preserve">  ·  </w:t>
      </w:r>
      <w:r>
        <w:t xml:space="preserve">Strategic frameworks and processes</w:t>
      </w:r>
      <w:r>
        <w:rPr>
          <w:rStyle w:val="Separator"/>
        </w:rPr>
        <w:t xml:space="preserve">  ·  </w:t>
      </w:r>
      <w:r>
        <w:t xml:space="preserve">Creating and delivering value</w:t>
      </w:r>
      <w:r>
        <w:rPr>
          <w:rStyle w:val="Separator"/>
        </w:rPr>
        <w:t xml:space="preserve">  ·  </w:t>
      </w:r>
      <w:r>
        <w:t xml:space="preserve">Strategic analysis tools: PESTLE, Porter's Five Forces and SWOT</w:t>
      </w:r>
      <w:r>
        <w:rPr>
          <w:rStyle w:val="Separator"/>
        </w:rPr>
        <w:t xml:space="preserve">  ·  </w:t>
      </w:r>
      <w:r>
        <w:t xml:space="preserve">Stakeholder mapping</w:t>
      </w:r>
      <w:r>
        <w:rPr>
          <w:rStyle w:val="Separator"/>
        </w:rPr>
        <w:t xml:space="preserve">  ·  </w:t>
      </w:r>
      <w:r>
        <w:t xml:space="preserve">Competitor analysis</w:t>
      </w:r>
      <w:r>
        <w:rPr>
          <w:rStyle w:val="Separator"/>
        </w:rPr>
        <w:t xml:space="preserve">  ·  </w:t>
      </w:r>
      <w:r>
        <w:t xml:space="preserve">Developing strategic options</w:t>
      </w:r>
      <w:r>
        <w:rPr>
          <w:rStyle w:val="Separator"/>
        </w:rPr>
        <w:t xml:space="preserve">  ·  </w:t>
      </w:r>
      <w:r>
        <w:t xml:space="preserve">Building competitive advantage</w:t>
      </w:r>
      <w:r>
        <w:rPr>
          <w:rStyle w:val="Separator"/>
        </w:rPr>
        <w:t xml:space="preserve">  ·  </w:t>
      </w:r>
      <w:r>
        <w:t xml:space="preserve">Managing growth</w:t>
      </w:r>
      <w:r>
        <w:rPr>
          <w:rStyle w:val="Separator"/>
        </w:rPr>
        <w:t xml:space="preserve">  ·  </w:t>
      </w:r>
      <w:r>
        <w:t xml:space="preserve">Innovation management</w:t>
      </w:r>
      <w:r>
        <w:rPr>
          <w:rStyle w:val="Separator"/>
        </w:rPr>
        <w:t xml:space="preserve">  ·  </w:t>
      </w:r>
      <w:r>
        <w:t xml:space="preserve">Blue Ocean Strategy and disruptive innovation</w:t>
      </w:r>
      <w:r>
        <w:rPr>
          <w:rStyle w:val="Separator"/>
        </w:rPr>
        <w:t xml:space="preserve">  ·  </w:t>
      </w:r>
      <w:r>
        <w:t xml:space="preserve">Service quality management</w:t>
      </w:r>
      <w:r>
        <w:rPr>
          <w:rStyle w:val="Separator"/>
        </w:rPr>
        <w:t xml:space="preserve">  ·  </w:t>
      </w:r>
      <w:r>
        <w:t xml:space="preserve">Conducting strategic health checks</w:t>
      </w:r>
    </w:p>
    <w:p>
      <w:pPr>
        <w:pStyle w:val="Heading3"/>
      </w:pPr>
      <w:r>
        <w:t xml:space="preserve">Joint Ventures and Acquisitions</w:t>
      </w:r>
    </w:p>
    <w:p>
      <w:pPr>
        <w:pStyle w:val="Topics"/>
      </w:pPr>
      <w:r>
        <w:t xml:space="preserve">Joint ventures and strategic alliances</w:t>
      </w:r>
      <w:r>
        <w:rPr>
          <w:rStyle w:val="Separator"/>
        </w:rPr>
        <w:t xml:space="preserve">  ·  </w:t>
      </w:r>
      <w:r>
        <w:t xml:space="preserve">Making partnerships successful</w:t>
      </w:r>
      <w:r>
        <w:rPr>
          <w:rStyle w:val="Separator"/>
        </w:rPr>
        <w:t xml:space="preserve">  ·  </w:t>
      </w:r>
      <w:r>
        <w:t xml:space="preserve">The COO's role in mergers and acquisitions</w:t>
      </w:r>
      <w:r>
        <w:rPr>
          <w:rStyle w:val="Separator"/>
        </w:rPr>
        <w:t xml:space="preserve">  ·  </w:t>
      </w:r>
      <w:r>
        <w:t xml:space="preserve">Post-acquisition integration</w:t>
      </w:r>
      <w:r>
        <w:rPr>
          <w:rStyle w:val="Separator"/>
        </w:rPr>
        <w:t xml:space="preserve">  ·  </w:t>
      </w:r>
      <w:r>
        <w:t xml:space="preserve">Why acquisitions often fail</w:t>
      </w:r>
    </w:p>
    <w:p>
      <w:pPr>
        <w:pStyle w:val="Heading3"/>
      </w:pPr>
      <w:r>
        <w:t xml:space="preserve">Making Strategy Work</w:t>
      </w:r>
    </w:p>
    <w:p>
      <w:pPr>
        <w:pStyle w:val="Topics"/>
      </w:pPr>
      <w:r>
        <w:t xml:space="preserve">Overcoming implementation barriers</w:t>
      </w:r>
      <w:r>
        <w:rPr>
          <w:rStyle w:val="Separator"/>
        </w:rPr>
        <w:t xml:space="preserve">  ·  </w:t>
      </w:r>
      <w:r>
        <w:t xml:space="preserve">Managing organisational culture</w:t>
      </w:r>
      <w:r>
        <w:rPr>
          <w:rStyle w:val="Separator"/>
        </w:rPr>
        <w:t xml:space="preserve">  ·  </w:t>
      </w:r>
      <w:r>
        <w:t xml:space="preserve">Partnering effectively with HR</w:t>
      </w:r>
      <w:r>
        <w:rPr>
          <w:rStyle w:val="Separator"/>
        </w:rPr>
        <w:t xml:space="preserve">  ·  </w:t>
      </w:r>
      <w:r>
        <w:t xml:space="preserve">Aligning KPIs with critical success factors</w:t>
      </w:r>
      <w:r>
        <w:rPr>
          <w:rStyle w:val="Separator"/>
        </w:rPr>
        <w:t xml:space="preserve">  ·  </w:t>
      </w:r>
      <w:r>
        <w:t xml:space="preserve">Board dashboards and performance reporting</w:t>
      </w:r>
      <w:r>
        <w:rPr>
          <w:rStyle w:val="Separator"/>
        </w:rPr>
        <w:t xml:space="preserve">  ·  </w:t>
      </w:r>
      <w:r>
        <w:t xml:space="preserve">Operational leadership</w:t>
      </w:r>
      <w:r>
        <w:rPr>
          <w:rStyle w:val="Separator"/>
        </w:rPr>
        <w:t xml:space="preserve">  ·  </w:t>
      </w:r>
      <w:r>
        <w:t xml:space="preserve">Collaborating with Chief Information and Technology Officers</w:t>
      </w:r>
    </w:p>
    <w:p>
      <w:pPr>
        <w:pStyle w:val="Heading2"/>
        <w:pBdr>
          <w:left w:val="single" w:color="A31621" w:sz="18" w:space="8"/>
        </w:pBdr>
        <w:shd w:fill="F3F6FB" w:color="auto" w:val="clear"/>
        <w:spacing w:after="100" w:before="200"/>
        <w:ind w:left="120" w:right="120"/>
      </w:pPr>
      <w:r>
        <w:rPr>
          <w:b/>
          <w:bCs/>
          <w:color w:val="A31621"/>
          <w:spacing w:val="30"/>
          <w:sz w:val="20"/>
          <w:szCs w:val="20"/>
        </w:rPr>
        <w:t xml:space="preserve">DAY 3</w:t>
      </w:r>
      <w:r>
        <w:rPr>
          <w:sz w:val="20"/>
          <w:szCs w:val="20"/>
        </w:rPr>
        <w:t xml:space="preserve">   </w:t>
      </w:r>
      <w:r>
        <w:rPr>
          <w:b/>
          <w:bCs/>
          <w:color w:val="0C2C5A"/>
          <w:sz w:val="22"/>
          <w:szCs w:val="22"/>
        </w:rPr>
        <w:t xml:space="preserve">Regulation, Risk and Control</w:t>
      </w:r>
    </w:p>
    <w:p>
      <w:pPr>
        <w:pStyle w:val="Heading3"/>
      </w:pPr>
      <w:r>
        <w:t xml:space="preserve">Regulation and Reporting</w:t>
      </w:r>
    </w:p>
    <w:p>
      <w:pPr>
        <w:pStyle w:val="Topics"/>
      </w:pPr>
      <w:r>
        <w:t xml:space="preserve">Working with regulators</w:t>
      </w:r>
      <w:r>
        <w:rPr>
          <w:rStyle w:val="Separator"/>
        </w:rPr>
        <w:t xml:space="preserve">  ·  </w:t>
      </w:r>
      <w:r>
        <w:t xml:space="preserve">Regulatory reporting requirements</w:t>
      </w:r>
      <w:r>
        <w:rPr>
          <w:rStyle w:val="Separator"/>
        </w:rPr>
        <w:t xml:space="preserve">  ·  </w:t>
      </w:r>
      <w:r>
        <w:t xml:space="preserve">Compliance management processes</w:t>
      </w:r>
      <w:r>
        <w:rPr>
          <w:rStyle w:val="Separator"/>
        </w:rPr>
        <w:t xml:space="preserve">  ·  </w:t>
      </w:r>
      <w:r>
        <w:t xml:space="preserve">Managing ethical dilemmas</w:t>
      </w:r>
      <w:r>
        <w:rPr>
          <w:rStyle w:val="Separator"/>
        </w:rPr>
        <w:t xml:space="preserve">  ·  </w:t>
      </w:r>
      <w:r>
        <w:t xml:space="preserve">Building organisational values</w:t>
      </w:r>
      <w:r>
        <w:rPr>
          <w:rStyle w:val="Separator"/>
        </w:rPr>
        <w:t xml:space="preserve">  ·  </w:t>
      </w:r>
      <w:r>
        <w:t xml:space="preserve">Whistleblowing practices and challenges</w:t>
      </w:r>
      <w:r>
        <w:rPr>
          <w:rStyle w:val="Separator"/>
        </w:rPr>
        <w:t xml:space="preserve">  ·  </w:t>
      </w:r>
      <w:r>
        <w:t xml:space="preserve">Sustainability reporting</w:t>
      </w:r>
      <w:r>
        <w:rPr>
          <w:rStyle w:val="Separator"/>
        </w:rPr>
        <w:t xml:space="preserve">  ·  </w:t>
      </w:r>
      <w:r>
        <w:t xml:space="preserve">The ESG debate</w:t>
      </w:r>
    </w:p>
    <w:p>
      <w:pPr>
        <w:pStyle w:val="Heading3"/>
      </w:pPr>
      <w:r>
        <w:t xml:space="preserve">Strategic Risk Evaluation</w:t>
      </w:r>
    </w:p>
    <w:p>
      <w:pPr>
        <w:pStyle w:val="Topics"/>
      </w:pPr>
      <w:r>
        <w:t xml:space="preserve">Risk management best practice</w:t>
      </w:r>
      <w:r>
        <w:rPr>
          <w:rStyle w:val="Separator"/>
        </w:rPr>
        <w:t xml:space="preserve">  ·  </w:t>
      </w:r>
      <w:r>
        <w:t xml:space="preserve">Developing a strong risk culture</w:t>
      </w:r>
      <w:r>
        <w:rPr>
          <w:rStyle w:val="Separator"/>
        </w:rPr>
        <w:t xml:space="preserve">  ·  </w:t>
      </w:r>
      <w:r>
        <w:t xml:space="preserve">Risk management frameworks, including COSO</w:t>
      </w:r>
      <w:r>
        <w:rPr>
          <w:rStyle w:val="Separator"/>
        </w:rPr>
        <w:t xml:space="preserve">  ·  </w:t>
      </w:r>
      <w:r>
        <w:t xml:space="preserve">Operational risk and the Three Lines of Defence model</w:t>
      </w:r>
      <w:r>
        <w:rPr>
          <w:rStyle w:val="Separator"/>
        </w:rPr>
        <w:t xml:space="preserve">  ·  </w:t>
      </w:r>
      <w:r>
        <w:t xml:space="preserve">Fraud, bribery and corruption prevention</w:t>
      </w:r>
      <w:r>
        <w:rPr>
          <w:rStyle w:val="Separator"/>
        </w:rPr>
        <w:t xml:space="preserve">  ·  </w:t>
      </w:r>
      <w:r>
        <w:t xml:space="preserve">Analysis of real-world case studies</w:t>
      </w:r>
      <w:r>
        <w:rPr>
          <w:rStyle w:val="Separator"/>
        </w:rPr>
        <w:t xml:space="preserve">  ·  </w:t>
      </w:r>
      <w:r>
        <w:t xml:space="preserve">Working effectively with Internal Audit</w:t>
      </w:r>
      <w:r>
        <w:rPr>
          <w:rStyle w:val="Separator"/>
        </w:rPr>
        <w:t xml:space="preserve">  ·  </w:t>
      </w:r>
      <w:r>
        <w:t xml:space="preserve">Crisis management and response</w:t>
      </w:r>
    </w:p>
    <w:p>
      <w:pPr>
        <w:pStyle w:val="Heading3"/>
      </w:pPr>
      <w:r>
        <w:t xml:space="preserve">The Control Environment</w:t>
      </w:r>
    </w:p>
    <w:p>
      <w:pPr>
        <w:pStyle w:val="Topics"/>
      </w:pPr>
      <w:r>
        <w:t xml:space="preserve">Internal control systems beyond regulatory compliance</w:t>
      </w:r>
      <w:r>
        <w:rPr>
          <w:rStyle w:val="Separator"/>
        </w:rPr>
        <w:t xml:space="preserve">  ·  </w:t>
      </w:r>
      <w:r>
        <w:t xml:space="preserve">The role of external auditors</w:t>
      </w:r>
      <w:r>
        <w:rPr>
          <w:rStyle w:val="Separator"/>
        </w:rPr>
        <w:t xml:space="preserve">  ·  </w:t>
      </w:r>
      <w:r>
        <w:t xml:space="preserve">Maximising value from external audit relationships</w:t>
      </w:r>
      <w:r>
        <w:rPr>
          <w:rStyle w:val="Separator"/>
        </w:rPr>
        <w:t xml:space="preserve">  ·  </w:t>
      </w:r>
      <w:r>
        <w:t xml:space="preserve">Board committees: Audit, Nomination and Remuneration</w:t>
      </w:r>
    </w:p>
    <w:sectPr>
      <w:headerReference w:type="default" r:id="rId7"/>
      <w:footerReference w:type="default" r:id="rId8"/>
      <w:pgSz w:w="11906" w:h="16838" w:orient="portrait"/>
      <w:pgMar w:top="680" w:right="720" w:bottom="620" w:left="720" w:header="40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A" w:sz="4" w:space="6"/>
      </w:pBdr>
      <w:spacing w:after="40" w:before="0"/>
    </w:pPr>
  </w:p>
  <w:p>
    <w:pPr>
      <w:pStyle w:val="BrandFooter"/>
    </w:pPr>
    <w:r>
      <w:t xml:space="preserve">EasyUphill Training &amp; Consulting  ·  eubiz.co.za  ·  training@eubiz.co.za  ·  +27 81 041 7673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6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233"/>
      <w:gridCol w:w="5233"/>
    </w:tblGrid>
    <w:tr>
      <w:tc>
        <w:tcPr>
          <w:tcW w:type="dxa" w:w="523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28575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cs="Calibri" w:eastAsia="Calibri" w:hAnsi="Calibri"/>
              <w:b/>
              <w:bCs/>
              <w:color w:val="0C2C5A"/>
              <w:sz w:val="28"/>
              <w:szCs w:val="28"/>
            </w:rPr>
            <w:t xml:space="preserve">  EasyUphill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A31621"/>
              <w:spacing w:val="30"/>
              <w:sz w:val="13"/>
              <w:szCs w:val="13"/>
            </w:rPr>
            <w:t xml:space="preserve">TRAINING  ·  CORPORATE DEVELOPMENT</w:t>
          </w:r>
        </w:p>
      </w:tc>
      <w:tc>
        <w:tcPr>
          <w:tcW w:type="dxa" w:w="523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5A6B82"/>
              <w:sz w:val="14"/>
              <w:szCs w:val="14"/>
            </w:rPr>
            <w:t xml:space="preserve">+27 81 041 7673</w:t>
          </w:r>
        </w:p>
        <w:p>
          <w:pPr>
            <w:spacing w:after="0" w:before="10"/>
            <w:jc w:val="right"/>
          </w:pPr>
          <w:r>
            <w:rPr>
              <w:rFonts w:ascii="Calibri" w:cs="Calibri" w:eastAsia="Calibri" w:hAnsi="Calibri"/>
              <w:color w:val="5A6B82"/>
              <w:sz w:val="14"/>
              <w:szCs w:val="14"/>
            </w:rPr>
            <w:t xml:space="preserve">training@eubiz.co.za</w:t>
          </w:r>
        </w:p>
        <w:p>
          <w:pPr>
            <w:spacing w:after="0" w:before="10"/>
            <w:jc w:val="right"/>
          </w:pPr>
          <w:r>
            <w:rPr>
              <w:rFonts w:ascii="Calibri" w:cs="Calibri" w:eastAsia="Calibri" w:hAnsi="Calibri"/>
              <w:color w:val="5A6B82"/>
              <w:sz w:val="14"/>
              <w:szCs w:val="14"/>
            </w:rPr>
            <w:t xml:space="preserve">68 Sunstone Street, Germiston, 1401</w:t>
          </w:r>
        </w:p>
        <w:p>
          <w:pPr>
            <w:spacing w:after="0" w:before="10"/>
            <w:jc w:val="right"/>
          </w:pPr>
          <w:r>
            <w:rPr>
              <w:rFonts w:ascii="Calibri" w:cs="Calibri" w:eastAsia="Calibri" w:hAnsi="Calibri"/>
              <w:color w:val="5A6B82"/>
              <w:sz w:val="14"/>
              <w:szCs w:val="14"/>
            </w:rPr>
            <w:t xml:space="preserve">eubiz.co.za</w:t>
          </w:r>
        </w:p>
      </w:tc>
    </w:tr>
  </w:tbl>
  <w:p>
    <w:pPr>
      <w:pBdr>
        <w:bottom w:val="single" w:color="0C2C5A" w:sz="12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A31621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A22"/>
        <w:sz w:val="20"/>
        <w:szCs w:val="20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pPr>
      <w:spacing w:after="120" w:before="40"/>
    </w:pPr>
    <w:rPr>
      <w:rFonts w:ascii="Calibri" w:cs="Calibri" w:eastAsia="Calibri" w:hAnsi="Calibri"/>
      <w:b/>
      <w:bCs/>
      <w:color w:val="0C2C5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C2C5A" w:sz="6" w:space="4"/>
      </w:pBdr>
      <w:spacing w:after="100" w:before="240"/>
      <w:outlineLvl w:val="0"/>
    </w:pPr>
    <w:rPr>
      <w:rFonts w:ascii="Calibri" w:cs="Calibri" w:eastAsia="Calibri" w:hAnsi="Calibri"/>
      <w:b/>
      <w:bCs/>
      <w:color w:val="0C2C5A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A31621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30" w:before="110"/>
      <w:outlineLvl w:val="2"/>
    </w:pPr>
    <w:rPr>
      <w:rFonts w:ascii="Calibri" w:cs="Calibri" w:eastAsia="Calibri" w:hAnsi="Calibri"/>
      <w:b/>
      <w:bCs/>
      <w:color w:val="0C2C5A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0" w:line="264"/>
    </w:pPr>
    <w:rPr>
      <w:rFonts w:ascii="Calibri" w:cs="Calibri" w:eastAsia="Calibri" w:hAnsi="Calibri"/>
      <w:color w:val="141A22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EU Kicker"/>
    <w:basedOn w:val="Normal"/>
    <w:next w:val="Normal"/>
    <w:qFormat/>
    <w:pPr>
      <w:spacing w:after="40" w:before="0"/>
    </w:pPr>
    <w:rPr>
      <w:rFonts w:ascii="Calibri" w:cs="Calibri" w:eastAsia="Calibri" w:hAnsi="Calibri"/>
      <w:b/>
      <w:bCs/>
      <w:caps/>
      <w:color w:val="A31621"/>
      <w:spacing w:val="30"/>
      <w:sz w:val="17"/>
      <w:szCs w:val="17"/>
    </w:rPr>
  </w:style>
  <w:style w:type="paragraph" w:styleId="Standfirst">
    <w:name w:val="EU Standfirst"/>
    <w:basedOn w:val="Normal"/>
    <w:next w:val="Normal"/>
    <w:qFormat/>
    <w:pPr>
      <w:spacing w:after="200" w:line="288"/>
    </w:pPr>
    <w:rPr>
      <w:rFonts w:ascii="Calibri" w:cs="Calibri" w:eastAsia="Calibri" w:hAnsi="Calibri"/>
      <w:color w:val="5A6B82"/>
      <w:sz w:val="22"/>
      <w:szCs w:val="22"/>
    </w:rPr>
  </w:style>
  <w:style w:type="paragraph" w:styleId="Lead">
    <w:name w:val="EU Lead Paragraph"/>
    <w:basedOn w:val="Normal"/>
    <w:next w:val="Normal"/>
    <w:qFormat/>
    <w:pPr>
      <w:spacing w:after="140" w:line="276"/>
    </w:pPr>
    <w:rPr>
      <w:rFonts w:ascii="Calibri" w:cs="Calibri" w:eastAsia="Calibri" w:hAnsi="Calibri"/>
      <w:color w:val="141A22"/>
      <w:sz w:val="20"/>
      <w:szCs w:val="20"/>
    </w:rPr>
  </w:style>
  <w:style w:type="paragraph" w:styleId="Topics">
    <w:name w:val="EU Agenda Topics"/>
    <w:basedOn w:val="Normal"/>
    <w:next w:val="Normal"/>
    <w:qFormat/>
    <w:pPr>
      <w:spacing w:after="110" w:line="252"/>
      <w:ind w:left="200"/>
    </w:pPr>
    <w:rPr>
      <w:rFonts w:ascii="Calibri" w:cs="Calibri" w:eastAsia="Calibri" w:hAnsi="Calibri"/>
      <w:color w:val="141A22"/>
      <w:sz w:val="18"/>
      <w:szCs w:val="18"/>
    </w:rPr>
  </w:style>
  <w:style w:type="paragraph" w:styleId="Meta">
    <w:name w:val="EU Meta"/>
    <w:basedOn w:val="Normal"/>
    <w:next w:val="Normal"/>
    <w:pPr>
      <w:spacing w:after="0" w:line="240"/>
    </w:pPr>
    <w:rPr>
      <w:rFonts w:ascii="Calibri" w:cs="Calibri" w:eastAsia="Calibri" w:hAnsi="Calibri"/>
      <w:color w:val="5A6B82"/>
      <w:sz w:val="16"/>
      <w:szCs w:val="16"/>
    </w:rPr>
  </w:style>
  <w:style w:type="paragraph" w:styleId="FieldLabel">
    <w:name w:val="EU Field Label"/>
    <w:basedOn w:val="Normal"/>
    <w:next w:val="Normal"/>
    <w:qFormat/>
    <w:pPr>
      <w:spacing w:after="40" w:before="40" w:line="240"/>
    </w:pPr>
    <w:rPr>
      <w:rFonts w:ascii="Calibri" w:cs="Calibri" w:eastAsia="Calibri" w:hAnsi="Calibri"/>
      <w:b/>
      <w:bCs/>
      <w:caps/>
      <w:color w:val="0C2C5A"/>
      <w:spacing w:val="20"/>
      <w:sz w:val="16"/>
      <w:szCs w:val="16"/>
    </w:rPr>
  </w:style>
  <w:style w:type="paragraph" w:styleId="FieldEntry">
    <w:name w:val="EU Field Entry"/>
    <w:basedOn w:val="Normal"/>
    <w:next w:val="Normal"/>
    <w:qFormat/>
    <w:pPr>
      <w:spacing w:after="60" w:before="60" w:line="240"/>
    </w:pPr>
    <w:rPr>
      <w:rFonts w:ascii="Calibri" w:cs="Calibri" w:eastAsia="Calibri" w:hAnsi="Calibri"/>
      <w:color w:val="141A22"/>
      <w:sz w:val="20"/>
      <w:szCs w:val="20"/>
    </w:rPr>
  </w:style>
  <w:style w:type="paragraph" w:styleId="TableHead">
    <w:name w:val="EU Table Head"/>
    <w:basedOn w:val="Normal"/>
    <w:next w:val="Normal"/>
    <w:pPr>
      <w:spacing w:after="60" w:before="60" w:line="240"/>
    </w:pPr>
    <w:rPr>
      <w:rFonts w:ascii="Calibri" w:cs="Calibri" w:eastAsia="Calibri" w:hAnsi="Calibri"/>
      <w:b/>
      <w:bCs/>
      <w:caps/>
      <w:color w:val="FFFFFF"/>
      <w:spacing w:val="20"/>
      <w:sz w:val="16"/>
      <w:szCs w:val="16"/>
    </w:rPr>
  </w:style>
  <w:style w:type="paragraph" w:styleId="Terms">
    <w:name w:val="EU Terms"/>
    <w:basedOn w:val="Normal"/>
    <w:next w:val="Terms"/>
    <w:pPr>
      <w:spacing w:after="70" w:line="252"/>
      <w:ind w:left="260" w:hanging="260"/>
    </w:pPr>
    <w:rPr>
      <w:rFonts w:ascii="Calibri" w:cs="Calibri" w:eastAsia="Calibri" w:hAnsi="Calibri"/>
      <w:color w:val="141A22"/>
      <w:sz w:val="17"/>
      <w:szCs w:val="17"/>
    </w:rPr>
  </w:style>
  <w:style w:type="paragraph" w:styleId="Closing">
    <w:name w:val="EU Closing Statement"/>
    <w:basedOn w:val="Normal"/>
    <w:next w:val="Normal"/>
    <w:qFormat/>
    <w:pPr>
      <w:spacing w:after="120" w:before="200" w:line="276"/>
    </w:pPr>
    <w:rPr>
      <w:rFonts w:ascii="Calibri" w:cs="Calibri" w:eastAsia="Calibri" w:hAnsi="Calibri"/>
      <w:b/>
      <w:bCs/>
      <w:i/>
      <w:iCs/>
      <w:color w:val="0C2C5A"/>
      <w:sz w:val="20"/>
      <w:szCs w:val="20"/>
    </w:rPr>
  </w:style>
  <w:style w:type="paragraph" w:styleId="InvoiceTitle">
    <w:name w:val="EU Invoice Title"/>
    <w:basedOn w:val="Normal"/>
    <w:next w:val="Normal"/>
    <w:pPr>
      <w:spacing w:after="0" w:before="0"/>
      <w:jc w:val="right"/>
    </w:pPr>
    <w:rPr>
      <w:rFonts w:ascii="Calibri" w:cs="Calibri" w:eastAsia="Calibri" w:hAnsi="Calibri"/>
      <w:b/>
      <w:bCs/>
      <w:color w:val="FFFFFF"/>
      <w:spacing w:val="40"/>
      <w:sz w:val="44"/>
      <w:szCs w:val="44"/>
    </w:rPr>
  </w:style>
  <w:style w:type="paragraph" w:styleId="BlockLabel">
    <w:name w:val="EU Block Label"/>
    <w:basedOn w:val="Normal"/>
    <w:next w:val="Normal"/>
    <w:qFormat/>
    <w:pPr>
      <w:spacing w:after="60" w:before="0"/>
    </w:pPr>
    <w:rPr>
      <w:rFonts w:ascii="Calibri" w:cs="Calibri" w:eastAsia="Calibri" w:hAnsi="Calibri"/>
      <w:b/>
      <w:bCs/>
      <w:caps/>
      <w:color w:val="A31621"/>
      <w:spacing w:val="40"/>
      <w:sz w:val="16"/>
      <w:szCs w:val="16"/>
    </w:rPr>
  </w:style>
  <w:style w:type="paragraph" w:styleId="BlockText">
    <w:name w:val="EU Block Text"/>
    <w:basedOn w:val="Normal"/>
    <w:next w:val="BlockText"/>
    <w:qFormat/>
    <w:pPr>
      <w:spacing w:after="20" w:before="0"/>
    </w:pPr>
    <w:rPr>
      <w:rFonts w:ascii="Calibri" w:cs="Calibri" w:eastAsia="Calibri" w:hAnsi="Calibri"/>
      <w:color w:val="141A22"/>
      <w:sz w:val="18"/>
      <w:szCs w:val="18"/>
    </w:rPr>
  </w:style>
  <w:style w:type="paragraph" w:styleId="BlockName">
    <w:name w:val="EU Block Name"/>
    <w:basedOn w:val="Normal"/>
    <w:next w:val="BlockText"/>
    <w:qFormat/>
    <w:pPr>
      <w:spacing w:after="40" w:before="0"/>
    </w:pPr>
    <w:rPr>
      <w:rFonts w:ascii="Calibri" w:cs="Calibri" w:eastAsia="Calibri" w:hAnsi="Calibri"/>
      <w:b/>
      <w:bCs/>
      <w:color w:val="0C2C5A"/>
      <w:sz w:val="21"/>
      <w:szCs w:val="21"/>
    </w:rPr>
  </w:style>
  <w:style w:type="paragraph" w:styleId="Money">
    <w:name w:val="EU Money"/>
    <w:basedOn w:val="Normal"/>
    <w:next w:val="Normal"/>
    <w:qFormat/>
    <w:pPr>
      <w:spacing w:after="50" w:before="50"/>
      <w:jc w:val="right"/>
    </w:pPr>
    <w:rPr>
      <w:rFonts w:ascii="Calibri" w:cs="Calibri" w:eastAsia="Calibri" w:hAnsi="Calibri"/>
      <w:color w:val="141A22"/>
      <w:sz w:val="19"/>
      <w:szCs w:val="19"/>
    </w:rPr>
  </w:style>
  <w:style w:type="paragraph" w:styleId="GrandTotal">
    <w:name w:val="EU Grand Total"/>
    <w:basedOn w:val="Normal"/>
    <w:next w:val="Normal"/>
    <w:pPr>
      <w:spacing w:after="70" w:before="70"/>
      <w:jc w:val="right"/>
    </w:pPr>
    <w:rPr>
      <w:rFonts w:ascii="Calibri" w:cs="Calibri" w:eastAsia="Calibri" w:hAnsi="Calibri"/>
      <w:b/>
      <w:bCs/>
      <w:color w:val="FFFFFF"/>
      <w:sz w:val="23"/>
      <w:szCs w:val="23"/>
    </w:rPr>
  </w:style>
  <w:style w:type="paragraph" w:styleId="BrandFooter">
    <w:name w:val="EU Brand Footer"/>
    <w:basedOn w:val="Normal"/>
    <w:next w:val="Normal"/>
    <w:pPr>
      <w:spacing w:after="0" w:before="0"/>
      <w:jc w:val="center"/>
    </w:pPr>
    <w:rPr>
      <w:rFonts w:ascii="Calibri" w:cs="Calibri" w:eastAsia="Calibri" w:hAnsi="Calibri"/>
      <w:color w:val="5A6B82"/>
      <w:sz w:val="15"/>
      <w:szCs w:val="15"/>
    </w:rPr>
  </w:style>
  <w:style w:type="character" w:styleId="Separator">
    <w:name w:val="EU Separator"/>
    <w:basedOn w:val="DefaultParagraphFont"/>
    <w:uiPriority w:val="99"/>
    <w:unhideWhenUsed/>
    <w:qFormat/>
    <w:rPr>
      <w:rFonts w:ascii="Calibri" w:cs="Calibri" w:eastAsia="Calibri" w:hAnsi="Calibri"/>
      <w:b/>
      <w:bCs/>
      <w:color w:val="A316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4d385fbe9637be91e7d805597287a728376e0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Chief Operating Officer (COO) Programme</dc:title>
  <dc:creator>EasyUphill Training &amp; Consulting</dc:creator>
  <dc:description>Drive operational excellence and strategic transformation: master the leadership, innovation and governance required to perform at board level.</dc:description>
  <cp:lastModifiedBy>Un-named</cp:lastModifiedBy>
  <cp:revision>1</cp:revision>
  <dcterms:created xsi:type="dcterms:W3CDTF">2026-08-24T07:56:32.730Z</dcterms:created>
  <dcterms:modified xsi:type="dcterms:W3CDTF">2026-08-24T07:56:32.731Z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