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1290"/>
        <w:gridCol w:w="1305"/>
        <w:gridCol w:w="1305"/>
        <w:gridCol w:w="1515"/>
        <w:gridCol w:w="1215"/>
        <w:tblGridChange w:id="0">
          <w:tblGrid>
            <w:gridCol w:w="2955"/>
            <w:gridCol w:w="1290"/>
            <w:gridCol w:w="1305"/>
            <w:gridCol w:w="1305"/>
            <w:gridCol w:w="1515"/>
            <w:gridCol w:w="1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Vicente Godoy</w:t>
            </w:r>
          </w:p>
          <w:p w:rsidR="00000000" w:rsidDel="00000000" w:rsidP="00000000" w:rsidRDefault="00000000" w:rsidRPr="00000000" w14:paraId="0000000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I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Pablo Nadinic</w:t>
            </w:r>
          </w:p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II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Cristóbal  Carrasco</w:t>
            </w:r>
          </w:p>
          <w:p w:rsidR="00000000" w:rsidDel="00000000" w:rsidP="00000000" w:rsidRDefault="00000000" w:rsidRPr="00000000" w14:paraId="0000000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III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Profesor</w:t>
            </w:r>
          </w:p>
          <w:p w:rsidR="00000000" w:rsidDel="00000000" w:rsidP="00000000" w:rsidRDefault="00000000" w:rsidRPr="00000000" w14:paraId="0000000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(Consultor)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</w:tr>
      <w:tr>
        <w:trPr>
          <w:cantSplit w:val="0"/>
          <w:trHeight w:val="449.6728515625000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Identificar stakeholders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Definir objetivos reales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Definir alcance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WBS(KANBAN)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Cronograma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Riesgos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Reglas del negocio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Diagramas de arquitectura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SDD/diseño detallado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Flujo Git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Bitácora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6728515625000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Ejecución de pruebas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Registro de defectos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Manuales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Instalación real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Ética y privacidad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Informe final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Anexos reales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Responsable directo,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Aprueba,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Consultado,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Informado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62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62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62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6628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628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628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628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628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628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628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628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628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62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62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62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628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628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628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628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628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6281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E6628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pyGK9ZTMWh2ac+LpPuR9jrvFgA==">CgMxLjA4AHIhMVpCWkpVOUREYzQwb1ByVGhlcGcyNlBsQnJsd2NNMXFn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2025-11-15T17:00:00Z</dcterms:created>
  <dc:creator>VICENTE ORLANDO GODOY SANTIBANEZ</dc:creator>
</cp:coreProperties>
</file>