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04D7" w14:textId="33FA90FD" w:rsidR="0003429A" w:rsidRDefault="005D2057" w:rsidP="005D2057">
      <w:pPr>
        <w:pStyle w:val="Title"/>
        <w:jc w:val="center"/>
        <w:rPr>
          <w:sz w:val="28"/>
          <w:szCs w:val="28"/>
        </w:rPr>
      </w:pPr>
      <w:r w:rsidRPr="005D2057">
        <w:rPr>
          <w:sz w:val="28"/>
          <w:szCs w:val="28"/>
        </w:rPr>
        <w:t>Sales Data Pipeline: SQL Cleaning &amp; Python Analytics</w:t>
      </w:r>
    </w:p>
    <w:p w14:paraId="47DFAC91" w14:textId="77777777" w:rsidR="00090BD2" w:rsidRPr="00090BD2" w:rsidRDefault="00090BD2" w:rsidP="00090BD2"/>
    <w:p w14:paraId="0BC7B7D3" w14:textId="16285E43" w:rsidR="00090BD2" w:rsidRPr="005D2057" w:rsidRDefault="00090BD2" w:rsidP="00090BD2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 xml:space="preserve">Summary </w:t>
      </w:r>
      <w:proofErr w:type="gramStart"/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Map</w:t>
      </w:r>
      <w:r w:rsidRPr="00090BD2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 xml:space="preserve"> :</w:t>
      </w:r>
      <w:proofErr w:type="gramEnd"/>
      <w:r w:rsidRPr="00090BD2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 xml:space="preserve">  Raw Data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="Segoe UI Symbol" w:eastAsiaTheme="majorEastAsia" w:hAnsi="Segoe UI Symbol" w:cs="Segoe UI Symbol"/>
          <w:spacing w:val="-10"/>
          <w:kern w:val="28"/>
          <w:sz w:val="24"/>
          <w:szCs w:val="24"/>
        </w:rPr>
        <w:t>➔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Python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="Segoe UI Symbol" w:eastAsiaTheme="majorEastAsia" w:hAnsi="Segoe UI Symbol" w:cs="Segoe UI Symbol"/>
          <w:spacing w:val="-10"/>
          <w:kern w:val="28"/>
          <w:sz w:val="24"/>
          <w:szCs w:val="24"/>
        </w:rPr>
        <w:t>➔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SQL (Clean)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="Segoe UI Symbol" w:eastAsiaTheme="majorEastAsia" w:hAnsi="Segoe UI Symbol" w:cs="Segoe UI Symbol"/>
          <w:spacing w:val="-10"/>
          <w:kern w:val="28"/>
          <w:sz w:val="24"/>
          <w:szCs w:val="24"/>
        </w:rPr>
        <w:t>➔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CSV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="Segoe UI Symbol" w:eastAsiaTheme="majorEastAsia" w:hAnsi="Segoe UI Symbol" w:cs="Segoe UI Symbol"/>
          <w:spacing w:val="-10"/>
          <w:kern w:val="28"/>
          <w:sz w:val="24"/>
          <w:szCs w:val="24"/>
        </w:rPr>
        <w:t>➔</w:t>
      </w:r>
      <w:r w:rsidRPr="00090BD2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 w:rsidRPr="00090BD2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Python (Predict)</w:t>
      </w:r>
    </w:p>
    <w:p w14:paraId="3F55B86B" w14:textId="1A48469D" w:rsidR="005D2057" w:rsidRDefault="005D2057" w:rsidP="005D2057"/>
    <w:p w14:paraId="3FBE69BB" w14:textId="77777777" w:rsidR="005D2057" w:rsidRPr="005D2057" w:rsidRDefault="005D2057" w:rsidP="005D205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5D2057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Step 1: Ingesting &amp; Loading (Python to PostgreSQL)</w:t>
      </w:r>
    </w:p>
    <w:p w14:paraId="2E982FE6" w14:textId="295BFECD" w:rsidR="005D2057" w:rsidRPr="005D2057" w:rsidRDefault="005D2057" w:rsidP="005D2057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5D2057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In this phase, Python served as the primary engine for handling raw data. A script was developed to ingest the raw CSV file and load it directly into a PostgreSQL database. Instead of a simple file import, a persistent connection was established that "poured" the data into a structured table. An automated "bridge" was created using the </w:t>
      </w:r>
      <w:proofErr w:type="spellStart"/>
      <w:r w:rsidRPr="005D2057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SQLAlchemy</w:t>
      </w:r>
      <w:proofErr w:type="spellEnd"/>
      <w:r w:rsidRPr="005D2057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library to facilitate the data transfer.</w:t>
      </w:r>
    </w:p>
    <w:p w14:paraId="66B3BCFF" w14:textId="77777777" w:rsidR="005D2057" w:rsidRPr="005D2057" w:rsidRDefault="005D2057" w:rsidP="005D205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5D2057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Step 2: Transformation &amp; Cleaning (The SQL Workspace)</w:t>
      </w:r>
    </w:p>
    <w:p w14:paraId="485617F5" w14:textId="77777777" w:rsidR="005D2057" w:rsidRDefault="005D2057" w:rsidP="005D2057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5D2057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Once the data was stored inside PostgreSQL, SQL was used for deep cleaning and organization. The process went beyond simple row deletion; the entire dataset was transformed. This stage involved fixing missing values, standardizing text formats, and ensuring all data types were accurate—such as converting text-based dates into proper Date formats.</w:t>
      </w:r>
    </w:p>
    <w:p w14:paraId="51C5FA76" w14:textId="3C66A1B3" w:rsidR="005D2057" w:rsidRPr="005D2057" w:rsidRDefault="005D2057" w:rsidP="005D205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5D2057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Step 3: Extraction &amp; Analytics (SQL to Python)</w:t>
      </w:r>
    </w:p>
    <w:p w14:paraId="14436DDF" w14:textId="75DAF0AD" w:rsidR="005D2057" w:rsidRDefault="005D2057" w:rsidP="005D2057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5D2057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With the data fully cleaned, it was extracted from the database. A final version was saved as a CSV file to keep a permanent record of the "clean" data. This file was then imported back into Python to begin the analytical phase.</w:t>
      </w:r>
    </w:p>
    <w:p w14:paraId="2257F565" w14:textId="77777777" w:rsidR="0080271D" w:rsidRPr="0080271D" w:rsidRDefault="0080271D" w:rsidP="0080271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 xml:space="preserve">Step 4: Machine Learning &amp; Predictive </w:t>
      </w:r>
      <w:proofErr w:type="spellStart"/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Modeling</w:t>
      </w:r>
      <w:proofErr w:type="spellEnd"/>
    </w:p>
    <w:p w14:paraId="236DE21C" w14:textId="77777777" w:rsidR="0080271D" w:rsidRPr="0080271D" w:rsidRDefault="0080271D" w:rsidP="0080271D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Once the cleaned dataset was prepared, the project transitioned into the predictive </w:t>
      </w:r>
      <w:proofErr w:type="spellStart"/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modeling</w:t>
      </w:r>
      <w:proofErr w:type="spellEnd"/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phase. Two distinct algorithms were implemented and compared: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Linear Regression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(as a baseline) and a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Random Forest Regressor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. To ensure categorical data was compatible with these models,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One-Hot Encoding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with </w:t>
      </w:r>
      <w:proofErr w:type="spellStart"/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drop_first</w:t>
      </w:r>
      <w:proofErr w:type="spellEnd"/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=True was applied, effectively preventing the "Dummy Variable Trap" and maintaining mathematical stability. This stage highlighted that sales patterns are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non-linear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, as the ensemble-based approach of the Random Forest was better suited to capture the complex interactions between price, quantity, and product categories.</w:t>
      </w:r>
    </w:p>
    <w:p w14:paraId="49880B69" w14:textId="77777777" w:rsidR="0080271D" w:rsidRPr="0080271D" w:rsidRDefault="0080271D" w:rsidP="0080271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</w:pP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Step 5: Evaluation &amp; Performance Insights</w:t>
      </w:r>
    </w:p>
    <w:p w14:paraId="032AA0AD" w14:textId="77777777" w:rsidR="0080271D" w:rsidRPr="0080271D" w:rsidRDefault="0080271D" w:rsidP="0080271D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The final phase involved a rigorous evaluation using the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$R^2$ Score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as the primary performance metric. By calculating the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percentage of variance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explained by each model, the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Random Forest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was identified as the superior performer, achieving an </w:t>
      </w:r>
      <w:r w:rsidRPr="0080271D">
        <w:rPr>
          <w:rFonts w:asciiTheme="majorHAnsi" w:eastAsiaTheme="majorEastAsia" w:hAnsiTheme="majorHAnsi" w:cstheme="majorBidi"/>
          <w:b/>
          <w:bCs/>
          <w:spacing w:val="-10"/>
          <w:kern w:val="28"/>
          <w:sz w:val="24"/>
          <w:szCs w:val="24"/>
        </w:rPr>
        <w:t>$R^2$ of 0.44</w:t>
      </w:r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. A visualization of "Actual vs. Predicted" sales values confirmed that the model accurately tracks core trends. However, the presence of "outliers"—data points located far from the identity line—indicates that external variables </w:t>
      </w:r>
      <w:proofErr w:type="gramStart"/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not present</w:t>
      </w:r>
      <w:proofErr w:type="gramEnd"/>
      <w:r w:rsidRPr="0080271D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in the current dataset, such as seasonality or specific marketing promotions, continue to influence high-value sales results.</w:t>
      </w:r>
    </w:p>
    <w:p w14:paraId="5866A723" w14:textId="77777777" w:rsidR="0080271D" w:rsidRDefault="0080271D" w:rsidP="005D2057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</w:p>
    <w:p w14:paraId="4873785B" w14:textId="77777777" w:rsidR="00090BD2" w:rsidRDefault="00090BD2" w:rsidP="005D2057">
      <w:pP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</w:p>
    <w:sectPr w:rsidR="0009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A58"/>
    <w:multiLevelType w:val="multilevel"/>
    <w:tmpl w:val="BF4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C50"/>
    <w:multiLevelType w:val="multilevel"/>
    <w:tmpl w:val="BB5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53AC"/>
    <w:multiLevelType w:val="multilevel"/>
    <w:tmpl w:val="68D4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568A"/>
    <w:multiLevelType w:val="multilevel"/>
    <w:tmpl w:val="839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391710">
    <w:abstractNumId w:val="2"/>
  </w:num>
  <w:num w:numId="2" w16cid:durableId="1371105827">
    <w:abstractNumId w:val="0"/>
  </w:num>
  <w:num w:numId="3" w16cid:durableId="621301952">
    <w:abstractNumId w:val="3"/>
  </w:num>
  <w:num w:numId="4" w16cid:durableId="4105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57"/>
    <w:rsid w:val="0003429A"/>
    <w:rsid w:val="00090BD2"/>
    <w:rsid w:val="00356A81"/>
    <w:rsid w:val="00356C12"/>
    <w:rsid w:val="005D2057"/>
    <w:rsid w:val="00727D02"/>
    <w:rsid w:val="0080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FCA6"/>
  <w15:chartTrackingRefBased/>
  <w15:docId w15:val="{B2E20BED-CC09-4580-B096-770D4214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Panagiota Tourli</dc:creator>
  <cp:keywords/>
  <dc:description/>
  <cp:lastModifiedBy>Panagiota Tourli</cp:lastModifiedBy>
  <cp:revision>2</cp:revision>
  <dcterms:created xsi:type="dcterms:W3CDTF">2026-01-30T14:58:00Z</dcterms:created>
  <dcterms:modified xsi:type="dcterms:W3CDTF">2026-03-12T17:47:00Z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2da468b8-48fe-4d4c-ae7c-ab04eb8a1275</vt:lpwstr>
  </property>
</Properties>
</file>