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Suspicious Transaction Report - Financial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46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4210"/>
        <w:gridCol w:w="4236"/>
        <w:tblGridChange w:id="0">
          <w:tblGrid>
            <w:gridCol w:w="4210"/>
            <w:gridCol w:w="423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03">
            <w:pPr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Reporting Entity</w:t>
            </w: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bookmarkStart w:colFirst="0" w:colLast="0" w:name="bookmark=id.4hr6wa6uidcq" w:id="0"/>
            <w:bookmarkEnd w:id="0"/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2023-10-15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Ref.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STR-2023-4896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46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2770"/>
        <w:gridCol w:w="720"/>
        <w:gridCol w:w="1980"/>
        <w:gridCol w:w="2976"/>
        <w:tblGridChange w:id="0">
          <w:tblGrid>
            <w:gridCol w:w="2770"/>
            <w:gridCol w:w="720"/>
            <w:gridCol w:w="1980"/>
            <w:gridCol w:w="297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12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Individual Participants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me: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M.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 Birth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.: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1975-05-12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Doc. Id.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Num.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P12345678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NIF: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12345678A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Calle Gran Via, 34, Madrid, Spain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+34 987654321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Nationality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Spanish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Occupation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Freelance 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Participant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46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3670"/>
        <w:gridCol w:w="2340"/>
        <w:gridCol w:w="2436"/>
        <w:tblGridChange w:id="0">
          <w:tblGrid>
            <w:gridCol w:w="3670"/>
            <w:gridCol w:w="2340"/>
            <w:gridCol w:w="243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12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Corporate 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gridSpan w:val="3"/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me: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 Innovations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B-789456123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 Consulting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Avenida de la Universidad, 10, Barcelona, Spain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+34 123456789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Participant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Juan M. Lopez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46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4223"/>
        <w:gridCol w:w="4223"/>
        <w:tblGridChange w:id="0">
          <w:tblGrid>
            <w:gridCol w:w="4223"/>
            <w:gridCol w:w="422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Account / Insurance Policy Identification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ES782100031234567890123456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Checking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Madrid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2022-06-01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46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4223"/>
        <w:gridCol w:w="4223"/>
        <w:tblGridChange w:id="0">
          <w:tblGrid>
            <w:gridCol w:w="4223"/>
            <w:gridCol w:w="422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Transaction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Date/Period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bookmarkStart w:colFirst="0" w:colLast="0" w:name="bookmark=id.8c7qxl4kw5y4" w:id="1"/>
            <w:bookmarkEnd w:id="1"/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2023-10-14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/ Currency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transaction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International Wire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 - Destination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Countries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Spain to Malta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Sending Bank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XYZ Bank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 num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ES782100031234567890123456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Receiving Bank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Maltese International Bank Plc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 num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MT9103123456789012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46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8446"/>
        <w:tblGridChange w:id="0">
          <w:tblGrid>
            <w:gridCol w:w="844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Reason for Suspicion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transaction amount of EUR 1,200,000 is unusually high and the beneficiary's account was opened recently. Additionally, the recipient bank has been flagged previously for suspicious activities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46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8446"/>
        <w:tblGridChange w:id="0">
          <w:tblGrid>
            <w:gridCol w:w="844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List of Attached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Customer Due Diligence Report, Bank Statements (Sep - Oct 2023), Beneficial Ownership Declaration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46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8446"/>
        <w:tblGridChange w:id="0">
          <w:tblGrid>
            <w:gridCol w:w="844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Further investigation needed to confirm the legitimacy of this transaction and the business relationship between Carlos M. Santos and Tech Innovations LLC.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reporting person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Maria Rodriguez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Cabeçalho1">
    <w:name w:val="Cabeçalh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PT" w:val="pt-PT"/>
    </w:rPr>
  </w:style>
  <w:style w:type="paragraph" w:styleId="Cabeçalho2">
    <w:name w:val="Cabeçalh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PT" w:val="pt-PT"/>
    </w:rPr>
  </w:style>
  <w:style w:type="character" w:styleId="Tipodeletrapredefinidodoparágrafo">
    <w:name w:val="Tipo de letra predefinido do parágrafo"/>
    <w:next w:val="Tipodeletrapredefinidodopará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z-Parteinferiordoformulário">
    <w:name w:val="z-Parte inferior do formulário"/>
    <w:basedOn w:val="Normal"/>
    <w:next w:val="Normal"/>
    <w:autoRedefine w:val="0"/>
    <w:hidden w:val="0"/>
    <w:qFormat w:val="0"/>
    <w:pPr>
      <w:pBdr>
        <w:top w:color="auto" w:space="1" w:sz="6" w:val="sing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vanish w:val="1"/>
      <w:w w:val="100"/>
      <w:position w:val="-1"/>
      <w:sz w:val="16"/>
      <w:szCs w:val="16"/>
      <w:effect w:val="none"/>
      <w:vertAlign w:val="baseline"/>
      <w:cs w:val="0"/>
      <w:em w:val="none"/>
      <w:lang w:bidi="ar-SA" w:eastAsia="pt-PT" w:val="pt-PT"/>
    </w:rPr>
  </w:style>
  <w:style w:type="paragraph" w:styleId="z-Partesuperiordoformulário">
    <w:name w:val="z-Parte superior do formulário"/>
    <w:basedOn w:val="Normal"/>
    <w:next w:val="Normal"/>
    <w:autoRedefine w:val="0"/>
    <w:hidden w:val="0"/>
    <w:qFormat w:val="0"/>
    <w:pPr>
      <w:pBdr>
        <w:bottom w:color="auto" w:space="1" w:sz="6" w:val="sing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vanish w:val="1"/>
      <w:w w:val="100"/>
      <w:position w:val="-1"/>
      <w:sz w:val="16"/>
      <w:szCs w:val="16"/>
      <w:effect w:val="none"/>
      <w:vertAlign w:val="baseline"/>
      <w:cs w:val="0"/>
      <w:em w:val="none"/>
      <w:lang w:bidi="ar-SA" w:eastAsia="pt-PT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VveAWMIdSKUIeSdXHqnQiXpSA==">CgMxLjAyD2lkLjRocjZ3YTZ1aWRjcTIPaWQuOGM3cXhsNGt3NXk0OAByITF1X1JkalN2c3BTNFJsTUZteENmWV8wSHNqRjlscWMxbw==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2020-01-09T10:43:00Z</dcterms:created>
  <dc:creator>operacao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