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ACE56" w14:textId="16ECF75B" w:rsidR="009B2000" w:rsidRPr="006C1A35" w:rsidRDefault="00E10813" w:rsidP="00E10813">
      <w:pPr>
        <w:jc w:val="center"/>
        <w:rPr>
          <w:b/>
          <w:bCs/>
          <w:sz w:val="28"/>
          <w:szCs w:val="28"/>
          <w:u w:val="single"/>
        </w:rPr>
      </w:pPr>
      <w:r w:rsidRPr="006C1A35">
        <w:rPr>
          <w:b/>
          <w:bCs/>
          <w:sz w:val="28"/>
          <w:szCs w:val="28"/>
          <w:u w:val="single"/>
        </w:rPr>
        <w:t>Supplemental Online Materials</w:t>
      </w:r>
    </w:p>
    <w:p w14:paraId="1BDA1F06" w14:textId="77777777" w:rsidR="006C1A35" w:rsidRDefault="006C1A35" w:rsidP="00E10813">
      <w:pPr>
        <w:jc w:val="center"/>
        <w:rPr>
          <w:b/>
          <w:bCs/>
          <w:sz w:val="28"/>
          <w:szCs w:val="28"/>
        </w:rPr>
      </w:pPr>
    </w:p>
    <w:p w14:paraId="1FCA80C0" w14:textId="77777777" w:rsidR="00E10813" w:rsidRPr="006C1A35" w:rsidRDefault="00E10813" w:rsidP="00E10813">
      <w:pPr>
        <w:jc w:val="center"/>
        <w:rPr>
          <w:rFonts w:cs="Times New Roman"/>
          <w:b/>
          <w:bCs/>
          <w:sz w:val="28"/>
          <w:szCs w:val="28"/>
        </w:rPr>
      </w:pPr>
      <w:r w:rsidRPr="006C1A35">
        <w:rPr>
          <w:rFonts w:cs="Times New Roman"/>
          <w:b/>
          <w:bCs/>
          <w:sz w:val="28"/>
          <w:szCs w:val="28"/>
        </w:rPr>
        <w:t>The Big Four: Multiple Functions and Power in Global Value Chains</w:t>
      </w:r>
    </w:p>
    <w:p w14:paraId="11222CF8" w14:textId="77777777" w:rsidR="006C1A35" w:rsidRDefault="006C1A35" w:rsidP="00EA5DEF">
      <w:pPr>
        <w:rPr>
          <w:b/>
          <w:bCs/>
          <w:sz w:val="28"/>
          <w:szCs w:val="28"/>
        </w:rPr>
      </w:pPr>
    </w:p>
    <w:p w14:paraId="0B84C1E3" w14:textId="7B1DC9BD" w:rsidR="00B30FBF" w:rsidRDefault="006C1A35" w:rsidP="006C1A35">
      <w:r w:rsidRPr="006C1A35">
        <w:t xml:space="preserve">This file is the Online </w:t>
      </w:r>
      <w:r w:rsidR="00C019B1">
        <w:t>Supplementary Materials</w:t>
      </w:r>
      <w:r w:rsidRPr="006C1A35">
        <w:t xml:space="preserve"> to the manuscript “</w:t>
      </w:r>
      <w:r>
        <w:t>The Big Four: Multiple Functions and Power in Global Value Chains</w:t>
      </w:r>
      <w:r w:rsidRPr="006C1A35">
        <w:t xml:space="preserve">”. </w:t>
      </w:r>
      <w:r>
        <w:t xml:space="preserve">In </w:t>
      </w:r>
      <w:r w:rsidRPr="006C1A35">
        <w:t>Section A</w:t>
      </w:r>
      <w:r>
        <w:t>, we gather some basic summary statistics for the Big Four regarding their network of offices, the number of employees and gross revenues</w:t>
      </w:r>
      <w:r w:rsidR="00B30FBF">
        <w:t>. In Section B, we</w:t>
      </w:r>
      <w:r w:rsidR="00C07F2C">
        <w:t xml:space="preserve"> have a sample </w:t>
      </w:r>
      <w:r w:rsidR="00C07F2C" w:rsidRPr="00C8296A">
        <w:rPr>
          <w:rFonts w:cs="Times New Roman"/>
          <w:color w:val="000000" w:themeColor="text1"/>
        </w:rPr>
        <w:t>of the questions asked during the interviews</w:t>
      </w:r>
      <w:r w:rsidR="00C07F2C">
        <w:rPr>
          <w:rFonts w:cs="Times New Roman"/>
          <w:color w:val="000000" w:themeColor="text1"/>
        </w:rPr>
        <w:t>.</w:t>
      </w:r>
      <w:r w:rsidR="008A34E3">
        <w:rPr>
          <w:rFonts w:cs="Times New Roman"/>
          <w:color w:val="000000" w:themeColor="text1"/>
        </w:rPr>
        <w:t xml:space="preserve"> In Section C, we have included the codebook used in Nvivo software for coding our interviews.</w:t>
      </w:r>
      <w:r w:rsidR="00C07F2C">
        <w:rPr>
          <w:rFonts w:cs="Times New Roman"/>
          <w:color w:val="000000" w:themeColor="text1"/>
        </w:rPr>
        <w:t xml:space="preserve"> </w:t>
      </w:r>
      <w:r w:rsidR="00B30FBF">
        <w:t xml:space="preserve">In Section </w:t>
      </w:r>
      <w:r w:rsidR="008A34E3">
        <w:t>D</w:t>
      </w:r>
      <w:r w:rsidR="00B30FBF">
        <w:t xml:space="preserve">, we present the complete list </w:t>
      </w:r>
      <w:r w:rsidR="00B30FBF" w:rsidRPr="00FA0764">
        <w:rPr>
          <w:rFonts w:cs="Times New Roman"/>
          <w:color w:val="000000" w:themeColor="text1"/>
        </w:rPr>
        <w:t>of the corporate data sources (annual reports, press releases, etc.) use</w:t>
      </w:r>
      <w:r w:rsidR="00B30FBF">
        <w:rPr>
          <w:rFonts w:cs="Times New Roman"/>
          <w:color w:val="000000" w:themeColor="text1"/>
        </w:rPr>
        <w:t>d</w:t>
      </w:r>
      <w:r w:rsidR="00B30FBF" w:rsidRPr="00FA0764">
        <w:rPr>
          <w:rFonts w:cs="Times New Roman"/>
          <w:color w:val="000000" w:themeColor="text1"/>
        </w:rPr>
        <w:t xml:space="preserve"> in the paper</w:t>
      </w:r>
      <w:r w:rsidR="00B30FBF">
        <w:rPr>
          <w:rFonts w:cs="Times New Roman"/>
          <w:color w:val="000000" w:themeColor="text1"/>
        </w:rPr>
        <w:t>.</w:t>
      </w:r>
    </w:p>
    <w:p w14:paraId="11083398" w14:textId="36BA1194" w:rsidR="00E10813" w:rsidRDefault="00E10813"/>
    <w:p w14:paraId="1B412DB7" w14:textId="0B1C90A0" w:rsidR="00E10813" w:rsidRPr="00E10813" w:rsidRDefault="00E10813">
      <w:pPr>
        <w:rPr>
          <w:b/>
          <w:bCs/>
        </w:rPr>
      </w:pPr>
      <w:r w:rsidRPr="00E10813">
        <w:rPr>
          <w:b/>
          <w:bCs/>
        </w:rPr>
        <w:t>Section A</w:t>
      </w:r>
    </w:p>
    <w:p w14:paraId="752C1A29" w14:textId="37F49D18" w:rsidR="00887E56" w:rsidRDefault="00887E5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887E56" w:rsidRPr="00ED41A3" w14:paraId="1A523D86" w14:textId="77777777" w:rsidTr="00C1219C">
        <w:tc>
          <w:tcPr>
            <w:tcW w:w="9010" w:type="dxa"/>
          </w:tcPr>
          <w:p w14:paraId="15C74FEF" w14:textId="6C4DC278" w:rsidR="00887E56" w:rsidRPr="00ED41A3" w:rsidRDefault="00887E56" w:rsidP="00C1219C">
            <w:pPr>
              <w:jc w:val="center"/>
            </w:pPr>
            <w:bookmarkStart w:id="0" w:name="_Ref30175729"/>
            <w:r w:rsidRPr="00ED41A3">
              <w:rPr>
                <w:b/>
                <w:bCs/>
              </w:rPr>
              <w:t xml:space="preserve">Table </w:t>
            </w:r>
            <w:r w:rsidR="00E10813">
              <w:rPr>
                <w:b/>
                <w:bCs/>
              </w:rPr>
              <w:t>A</w:t>
            </w:r>
            <w:bookmarkEnd w:id="0"/>
            <w:r w:rsidR="00E10813">
              <w:rPr>
                <w:b/>
                <w:bCs/>
              </w:rPr>
              <w:t>1</w:t>
            </w:r>
            <w:r w:rsidRPr="00ED41A3">
              <w:rPr>
                <w:b/>
                <w:bCs/>
              </w:rPr>
              <w:t xml:space="preserve"> </w:t>
            </w:r>
            <w:r w:rsidRPr="003259F7">
              <w:t>The</w:t>
            </w:r>
            <w:r>
              <w:rPr>
                <w:b/>
                <w:bCs/>
              </w:rPr>
              <w:t xml:space="preserve"> </w:t>
            </w:r>
            <w:r w:rsidRPr="00ED41A3">
              <w:t>Big Four at a glance</w:t>
            </w:r>
          </w:p>
        </w:tc>
      </w:tr>
      <w:tr w:rsidR="00887E56" w:rsidRPr="00ED41A3" w14:paraId="350CFB81" w14:textId="77777777" w:rsidTr="00C1219C">
        <w:tc>
          <w:tcPr>
            <w:tcW w:w="9010" w:type="dxa"/>
            <w:tcBorders>
              <w:bottom w:val="single" w:sz="4" w:space="0" w:color="auto"/>
            </w:tcBorders>
          </w:tcPr>
          <w:tbl>
            <w:tblPr>
              <w:tblW w:w="8682" w:type="dxa"/>
              <w:tblLook w:val="04A0" w:firstRow="1" w:lastRow="0" w:firstColumn="1" w:lastColumn="0" w:noHBand="0" w:noVBand="1"/>
            </w:tblPr>
            <w:tblGrid>
              <w:gridCol w:w="2758"/>
              <w:gridCol w:w="1481"/>
              <w:gridCol w:w="1481"/>
              <w:gridCol w:w="1481"/>
              <w:gridCol w:w="1481"/>
            </w:tblGrid>
            <w:tr w:rsidR="00887E56" w:rsidRPr="00ED41A3" w14:paraId="09844B97" w14:textId="77777777" w:rsidTr="00C1219C">
              <w:trPr>
                <w:trHeight w:val="334"/>
              </w:trPr>
              <w:tc>
                <w:tcPr>
                  <w:tcW w:w="2758" w:type="dxa"/>
                  <w:tcBorders>
                    <w:top w:val="double" w:sz="4" w:space="0" w:color="auto"/>
                    <w:left w:val="nil"/>
                    <w:bottom w:val="nil"/>
                    <w:right w:val="nil"/>
                  </w:tcBorders>
                  <w:shd w:val="clear" w:color="auto" w:fill="auto"/>
                  <w:noWrap/>
                  <w:vAlign w:val="center"/>
                  <w:hideMark/>
                </w:tcPr>
                <w:p w14:paraId="600EEBE9" w14:textId="77777777" w:rsidR="00887E56" w:rsidRPr="00ED41A3" w:rsidRDefault="00887E56" w:rsidP="00C1219C">
                  <w:pPr>
                    <w:jc w:val="center"/>
                  </w:pPr>
                </w:p>
              </w:tc>
              <w:tc>
                <w:tcPr>
                  <w:tcW w:w="1481" w:type="dxa"/>
                  <w:tcBorders>
                    <w:top w:val="double" w:sz="4" w:space="0" w:color="auto"/>
                    <w:left w:val="nil"/>
                    <w:bottom w:val="single" w:sz="4" w:space="0" w:color="auto"/>
                    <w:right w:val="nil"/>
                  </w:tcBorders>
                  <w:shd w:val="clear" w:color="auto" w:fill="auto"/>
                  <w:noWrap/>
                  <w:vAlign w:val="center"/>
                  <w:hideMark/>
                </w:tcPr>
                <w:p w14:paraId="377D2642" w14:textId="77777777" w:rsidR="00887E56" w:rsidRPr="00ED41A3" w:rsidRDefault="00887E56" w:rsidP="00C1219C">
                  <w:pPr>
                    <w:jc w:val="center"/>
                    <w:rPr>
                      <w:color w:val="000000"/>
                    </w:rPr>
                  </w:pPr>
                  <w:r w:rsidRPr="00ED41A3">
                    <w:rPr>
                      <w:color w:val="000000"/>
                    </w:rPr>
                    <w:t>Deloitte</w:t>
                  </w:r>
                </w:p>
              </w:tc>
              <w:tc>
                <w:tcPr>
                  <w:tcW w:w="1481" w:type="dxa"/>
                  <w:tcBorders>
                    <w:top w:val="double" w:sz="4" w:space="0" w:color="auto"/>
                    <w:left w:val="nil"/>
                    <w:bottom w:val="single" w:sz="4" w:space="0" w:color="auto"/>
                    <w:right w:val="nil"/>
                  </w:tcBorders>
                  <w:shd w:val="clear" w:color="auto" w:fill="auto"/>
                  <w:noWrap/>
                  <w:vAlign w:val="center"/>
                  <w:hideMark/>
                </w:tcPr>
                <w:p w14:paraId="573178EF" w14:textId="77777777" w:rsidR="00887E56" w:rsidRPr="00ED41A3" w:rsidRDefault="00887E56" w:rsidP="00C1219C">
                  <w:pPr>
                    <w:jc w:val="center"/>
                    <w:rPr>
                      <w:color w:val="000000"/>
                    </w:rPr>
                  </w:pPr>
                  <w:r w:rsidRPr="00ED41A3">
                    <w:rPr>
                      <w:color w:val="000000"/>
                    </w:rPr>
                    <w:t>PwC</w:t>
                  </w:r>
                </w:p>
              </w:tc>
              <w:tc>
                <w:tcPr>
                  <w:tcW w:w="1481" w:type="dxa"/>
                  <w:tcBorders>
                    <w:top w:val="double" w:sz="4" w:space="0" w:color="auto"/>
                    <w:left w:val="nil"/>
                    <w:bottom w:val="single" w:sz="4" w:space="0" w:color="auto"/>
                    <w:right w:val="nil"/>
                  </w:tcBorders>
                  <w:shd w:val="clear" w:color="auto" w:fill="auto"/>
                  <w:noWrap/>
                  <w:vAlign w:val="center"/>
                  <w:hideMark/>
                </w:tcPr>
                <w:p w14:paraId="1FF94331" w14:textId="77777777" w:rsidR="00887E56" w:rsidRPr="00ED41A3" w:rsidRDefault="00887E56" w:rsidP="00C1219C">
                  <w:pPr>
                    <w:jc w:val="center"/>
                    <w:rPr>
                      <w:color w:val="000000"/>
                    </w:rPr>
                  </w:pPr>
                  <w:r w:rsidRPr="00ED41A3">
                    <w:rPr>
                      <w:color w:val="000000"/>
                    </w:rPr>
                    <w:t>KPMG</w:t>
                  </w:r>
                </w:p>
              </w:tc>
              <w:tc>
                <w:tcPr>
                  <w:tcW w:w="1481" w:type="dxa"/>
                  <w:tcBorders>
                    <w:top w:val="double" w:sz="4" w:space="0" w:color="auto"/>
                    <w:left w:val="nil"/>
                    <w:bottom w:val="single" w:sz="4" w:space="0" w:color="auto"/>
                    <w:right w:val="nil"/>
                  </w:tcBorders>
                  <w:shd w:val="clear" w:color="auto" w:fill="auto"/>
                  <w:noWrap/>
                  <w:vAlign w:val="center"/>
                  <w:hideMark/>
                </w:tcPr>
                <w:p w14:paraId="38936486" w14:textId="77777777" w:rsidR="00887E56" w:rsidRPr="00ED41A3" w:rsidRDefault="00887E56" w:rsidP="00C1219C">
                  <w:pPr>
                    <w:jc w:val="center"/>
                    <w:rPr>
                      <w:color w:val="000000"/>
                    </w:rPr>
                  </w:pPr>
                  <w:r w:rsidRPr="00ED41A3">
                    <w:rPr>
                      <w:color w:val="000000"/>
                    </w:rPr>
                    <w:t>EY</w:t>
                  </w:r>
                </w:p>
              </w:tc>
            </w:tr>
            <w:tr w:rsidR="00887E56" w:rsidRPr="00ED41A3" w14:paraId="47B169EC" w14:textId="77777777" w:rsidTr="00C1219C">
              <w:trPr>
                <w:trHeight w:val="334"/>
              </w:trPr>
              <w:tc>
                <w:tcPr>
                  <w:tcW w:w="2758" w:type="dxa"/>
                  <w:tcBorders>
                    <w:top w:val="nil"/>
                    <w:left w:val="nil"/>
                    <w:bottom w:val="nil"/>
                    <w:right w:val="nil"/>
                  </w:tcBorders>
                  <w:shd w:val="clear" w:color="auto" w:fill="auto"/>
                  <w:noWrap/>
                  <w:vAlign w:val="center"/>
                  <w:hideMark/>
                </w:tcPr>
                <w:p w14:paraId="33548A57" w14:textId="77777777" w:rsidR="00887E56" w:rsidRPr="00ED41A3" w:rsidRDefault="00887E56" w:rsidP="00C1219C">
                  <w:pPr>
                    <w:jc w:val="center"/>
                    <w:rPr>
                      <w:color w:val="000000"/>
                    </w:rPr>
                  </w:pPr>
                  <w:r w:rsidRPr="00ED41A3">
                    <w:rPr>
                      <w:color w:val="000000"/>
                    </w:rPr>
                    <w:t>Number of Countries</w:t>
                  </w:r>
                </w:p>
              </w:tc>
              <w:tc>
                <w:tcPr>
                  <w:tcW w:w="1481" w:type="dxa"/>
                  <w:tcBorders>
                    <w:top w:val="nil"/>
                    <w:left w:val="nil"/>
                    <w:bottom w:val="nil"/>
                    <w:right w:val="nil"/>
                  </w:tcBorders>
                  <w:shd w:val="clear" w:color="auto" w:fill="auto"/>
                  <w:noWrap/>
                  <w:vAlign w:val="center"/>
                  <w:hideMark/>
                </w:tcPr>
                <w:p w14:paraId="4D4C0512" w14:textId="77777777" w:rsidR="00887E56" w:rsidRPr="00ED41A3" w:rsidRDefault="00887E56" w:rsidP="00C1219C">
                  <w:pPr>
                    <w:jc w:val="center"/>
                    <w:rPr>
                      <w:color w:val="000000"/>
                    </w:rPr>
                  </w:pPr>
                  <w:r w:rsidRPr="00ED41A3">
                    <w:rPr>
                      <w:color w:val="000000"/>
                    </w:rPr>
                    <w:t>136</w:t>
                  </w:r>
                </w:p>
              </w:tc>
              <w:tc>
                <w:tcPr>
                  <w:tcW w:w="1481" w:type="dxa"/>
                  <w:tcBorders>
                    <w:top w:val="nil"/>
                    <w:left w:val="nil"/>
                    <w:bottom w:val="nil"/>
                    <w:right w:val="nil"/>
                  </w:tcBorders>
                  <w:shd w:val="clear" w:color="auto" w:fill="auto"/>
                  <w:noWrap/>
                  <w:vAlign w:val="center"/>
                  <w:hideMark/>
                </w:tcPr>
                <w:p w14:paraId="786B58BB" w14:textId="77777777" w:rsidR="00887E56" w:rsidRPr="00ED41A3" w:rsidRDefault="00887E56" w:rsidP="00C1219C">
                  <w:pPr>
                    <w:jc w:val="center"/>
                    <w:rPr>
                      <w:color w:val="000000"/>
                    </w:rPr>
                  </w:pPr>
                  <w:r w:rsidRPr="00ED41A3">
                    <w:rPr>
                      <w:color w:val="000000"/>
                    </w:rPr>
                    <w:t>143</w:t>
                  </w:r>
                </w:p>
              </w:tc>
              <w:tc>
                <w:tcPr>
                  <w:tcW w:w="1481" w:type="dxa"/>
                  <w:tcBorders>
                    <w:top w:val="nil"/>
                    <w:left w:val="nil"/>
                    <w:bottom w:val="nil"/>
                    <w:right w:val="nil"/>
                  </w:tcBorders>
                  <w:shd w:val="clear" w:color="auto" w:fill="auto"/>
                  <w:noWrap/>
                  <w:vAlign w:val="center"/>
                  <w:hideMark/>
                </w:tcPr>
                <w:p w14:paraId="4937EBEE" w14:textId="77777777" w:rsidR="00887E56" w:rsidRPr="00ED41A3" w:rsidRDefault="00887E56" w:rsidP="00C1219C">
                  <w:pPr>
                    <w:jc w:val="center"/>
                    <w:rPr>
                      <w:color w:val="000000"/>
                    </w:rPr>
                  </w:pPr>
                  <w:r w:rsidRPr="00ED41A3">
                    <w:rPr>
                      <w:color w:val="000000"/>
                    </w:rPr>
                    <w:t>128</w:t>
                  </w:r>
                </w:p>
              </w:tc>
              <w:tc>
                <w:tcPr>
                  <w:tcW w:w="1481" w:type="dxa"/>
                  <w:tcBorders>
                    <w:top w:val="nil"/>
                    <w:left w:val="nil"/>
                    <w:bottom w:val="nil"/>
                    <w:right w:val="nil"/>
                  </w:tcBorders>
                  <w:shd w:val="clear" w:color="auto" w:fill="auto"/>
                  <w:noWrap/>
                  <w:vAlign w:val="center"/>
                  <w:hideMark/>
                </w:tcPr>
                <w:p w14:paraId="0162D5D1" w14:textId="77777777" w:rsidR="00887E56" w:rsidRPr="00ED41A3" w:rsidRDefault="00887E56" w:rsidP="00C1219C">
                  <w:pPr>
                    <w:jc w:val="center"/>
                    <w:rPr>
                      <w:color w:val="000000"/>
                    </w:rPr>
                  </w:pPr>
                  <w:r w:rsidRPr="00ED41A3">
                    <w:rPr>
                      <w:color w:val="000000"/>
                    </w:rPr>
                    <w:t>141</w:t>
                  </w:r>
                </w:p>
              </w:tc>
            </w:tr>
            <w:tr w:rsidR="00887E56" w:rsidRPr="00ED41A3" w14:paraId="29190739" w14:textId="77777777" w:rsidTr="00C1219C">
              <w:trPr>
                <w:trHeight w:val="334"/>
              </w:trPr>
              <w:tc>
                <w:tcPr>
                  <w:tcW w:w="2758" w:type="dxa"/>
                  <w:tcBorders>
                    <w:top w:val="nil"/>
                    <w:left w:val="nil"/>
                    <w:bottom w:val="nil"/>
                    <w:right w:val="nil"/>
                  </w:tcBorders>
                  <w:shd w:val="clear" w:color="auto" w:fill="auto"/>
                  <w:noWrap/>
                  <w:vAlign w:val="center"/>
                  <w:hideMark/>
                </w:tcPr>
                <w:p w14:paraId="7C396902" w14:textId="77777777" w:rsidR="00887E56" w:rsidRPr="00ED41A3" w:rsidRDefault="00887E56" w:rsidP="00C1219C">
                  <w:pPr>
                    <w:jc w:val="center"/>
                    <w:rPr>
                      <w:color w:val="000000"/>
                    </w:rPr>
                  </w:pPr>
                  <w:r w:rsidRPr="00ED41A3">
                    <w:rPr>
                      <w:color w:val="000000"/>
                    </w:rPr>
                    <w:t>Number of Cities</w:t>
                  </w:r>
                </w:p>
              </w:tc>
              <w:tc>
                <w:tcPr>
                  <w:tcW w:w="1481" w:type="dxa"/>
                  <w:tcBorders>
                    <w:top w:val="nil"/>
                    <w:left w:val="nil"/>
                    <w:bottom w:val="nil"/>
                    <w:right w:val="nil"/>
                  </w:tcBorders>
                  <w:shd w:val="clear" w:color="auto" w:fill="auto"/>
                  <w:noWrap/>
                  <w:vAlign w:val="center"/>
                  <w:hideMark/>
                </w:tcPr>
                <w:p w14:paraId="417E7B12" w14:textId="77777777" w:rsidR="00887E56" w:rsidRPr="00ED41A3" w:rsidRDefault="00887E56" w:rsidP="00C1219C">
                  <w:pPr>
                    <w:jc w:val="center"/>
                    <w:rPr>
                      <w:color w:val="000000"/>
                    </w:rPr>
                  </w:pPr>
                  <w:r w:rsidRPr="00ED41A3">
                    <w:rPr>
                      <w:color w:val="000000"/>
                    </w:rPr>
                    <w:t>683</w:t>
                  </w:r>
                </w:p>
              </w:tc>
              <w:tc>
                <w:tcPr>
                  <w:tcW w:w="1481" w:type="dxa"/>
                  <w:tcBorders>
                    <w:top w:val="nil"/>
                    <w:left w:val="nil"/>
                    <w:bottom w:val="nil"/>
                    <w:right w:val="nil"/>
                  </w:tcBorders>
                  <w:shd w:val="clear" w:color="auto" w:fill="auto"/>
                  <w:noWrap/>
                  <w:vAlign w:val="center"/>
                  <w:hideMark/>
                </w:tcPr>
                <w:p w14:paraId="2C44396E" w14:textId="77777777" w:rsidR="00887E56" w:rsidRPr="00ED41A3" w:rsidRDefault="00887E56" w:rsidP="00C1219C">
                  <w:pPr>
                    <w:jc w:val="center"/>
                    <w:rPr>
                      <w:color w:val="000000"/>
                    </w:rPr>
                  </w:pPr>
                  <w:r w:rsidRPr="00ED41A3">
                    <w:rPr>
                      <w:color w:val="000000"/>
                    </w:rPr>
                    <w:t>645</w:t>
                  </w:r>
                </w:p>
              </w:tc>
              <w:tc>
                <w:tcPr>
                  <w:tcW w:w="1481" w:type="dxa"/>
                  <w:tcBorders>
                    <w:top w:val="nil"/>
                    <w:left w:val="nil"/>
                    <w:bottom w:val="nil"/>
                    <w:right w:val="nil"/>
                  </w:tcBorders>
                  <w:shd w:val="clear" w:color="auto" w:fill="auto"/>
                  <w:noWrap/>
                  <w:vAlign w:val="center"/>
                  <w:hideMark/>
                </w:tcPr>
                <w:p w14:paraId="505C0D46" w14:textId="77777777" w:rsidR="00887E56" w:rsidRPr="00ED41A3" w:rsidRDefault="00887E56" w:rsidP="00C1219C">
                  <w:pPr>
                    <w:jc w:val="center"/>
                    <w:rPr>
                      <w:color w:val="000000"/>
                    </w:rPr>
                  </w:pPr>
                  <w:r w:rsidRPr="00ED41A3">
                    <w:rPr>
                      <w:color w:val="000000"/>
                    </w:rPr>
                    <w:t>684</w:t>
                  </w:r>
                </w:p>
              </w:tc>
              <w:tc>
                <w:tcPr>
                  <w:tcW w:w="1481" w:type="dxa"/>
                  <w:tcBorders>
                    <w:top w:val="nil"/>
                    <w:left w:val="nil"/>
                    <w:bottom w:val="nil"/>
                    <w:right w:val="nil"/>
                  </w:tcBorders>
                  <w:shd w:val="clear" w:color="auto" w:fill="auto"/>
                  <w:noWrap/>
                  <w:vAlign w:val="center"/>
                  <w:hideMark/>
                </w:tcPr>
                <w:p w14:paraId="767607E0" w14:textId="77777777" w:rsidR="00887E56" w:rsidRPr="00ED41A3" w:rsidRDefault="00887E56" w:rsidP="00C1219C">
                  <w:pPr>
                    <w:jc w:val="center"/>
                    <w:rPr>
                      <w:color w:val="000000"/>
                    </w:rPr>
                  </w:pPr>
                  <w:r w:rsidRPr="00ED41A3">
                    <w:rPr>
                      <w:color w:val="000000"/>
                    </w:rPr>
                    <w:t>639</w:t>
                  </w:r>
                </w:p>
              </w:tc>
            </w:tr>
            <w:tr w:rsidR="00887E56" w:rsidRPr="00ED41A3" w14:paraId="6A15AC7D" w14:textId="77777777" w:rsidTr="00C1219C">
              <w:trPr>
                <w:trHeight w:val="334"/>
              </w:trPr>
              <w:tc>
                <w:tcPr>
                  <w:tcW w:w="2758" w:type="dxa"/>
                  <w:tcBorders>
                    <w:top w:val="nil"/>
                    <w:left w:val="nil"/>
                    <w:bottom w:val="nil"/>
                    <w:right w:val="nil"/>
                  </w:tcBorders>
                  <w:shd w:val="clear" w:color="auto" w:fill="auto"/>
                  <w:noWrap/>
                  <w:vAlign w:val="center"/>
                  <w:hideMark/>
                </w:tcPr>
                <w:p w14:paraId="4036F072" w14:textId="77777777" w:rsidR="00887E56" w:rsidRPr="00ED41A3" w:rsidRDefault="00887E56" w:rsidP="00C1219C">
                  <w:pPr>
                    <w:jc w:val="center"/>
                    <w:rPr>
                      <w:color w:val="000000"/>
                    </w:rPr>
                  </w:pPr>
                  <w:r w:rsidRPr="00ED41A3">
                    <w:rPr>
                      <w:color w:val="000000"/>
                    </w:rPr>
                    <w:t>Number of Offices</w:t>
                  </w:r>
                </w:p>
              </w:tc>
              <w:tc>
                <w:tcPr>
                  <w:tcW w:w="1481" w:type="dxa"/>
                  <w:tcBorders>
                    <w:top w:val="nil"/>
                    <w:left w:val="nil"/>
                    <w:bottom w:val="nil"/>
                    <w:right w:val="nil"/>
                  </w:tcBorders>
                  <w:shd w:val="clear" w:color="auto" w:fill="auto"/>
                  <w:noWrap/>
                  <w:vAlign w:val="center"/>
                  <w:hideMark/>
                </w:tcPr>
                <w:p w14:paraId="16B31DFB" w14:textId="77777777" w:rsidR="00887E56" w:rsidRPr="00ED41A3" w:rsidRDefault="00887E56" w:rsidP="00C1219C">
                  <w:pPr>
                    <w:jc w:val="center"/>
                    <w:rPr>
                      <w:color w:val="000000"/>
                    </w:rPr>
                  </w:pPr>
                  <w:r w:rsidRPr="00ED41A3">
                    <w:rPr>
                      <w:color w:val="000000"/>
                    </w:rPr>
                    <w:t>743</w:t>
                  </w:r>
                </w:p>
              </w:tc>
              <w:tc>
                <w:tcPr>
                  <w:tcW w:w="1481" w:type="dxa"/>
                  <w:tcBorders>
                    <w:top w:val="nil"/>
                    <w:left w:val="nil"/>
                    <w:bottom w:val="nil"/>
                    <w:right w:val="nil"/>
                  </w:tcBorders>
                  <w:shd w:val="clear" w:color="auto" w:fill="auto"/>
                  <w:noWrap/>
                  <w:vAlign w:val="center"/>
                  <w:hideMark/>
                </w:tcPr>
                <w:p w14:paraId="7091F47B" w14:textId="77777777" w:rsidR="00887E56" w:rsidRPr="00ED41A3" w:rsidRDefault="00887E56" w:rsidP="00C1219C">
                  <w:pPr>
                    <w:jc w:val="center"/>
                    <w:rPr>
                      <w:color w:val="000000"/>
                    </w:rPr>
                  </w:pPr>
                  <w:r w:rsidRPr="00ED41A3">
                    <w:rPr>
                      <w:color w:val="000000"/>
                    </w:rPr>
                    <w:t>713</w:t>
                  </w:r>
                </w:p>
              </w:tc>
              <w:tc>
                <w:tcPr>
                  <w:tcW w:w="1481" w:type="dxa"/>
                  <w:tcBorders>
                    <w:top w:val="nil"/>
                    <w:left w:val="nil"/>
                    <w:bottom w:val="nil"/>
                    <w:right w:val="nil"/>
                  </w:tcBorders>
                  <w:shd w:val="clear" w:color="auto" w:fill="auto"/>
                  <w:noWrap/>
                  <w:vAlign w:val="center"/>
                  <w:hideMark/>
                </w:tcPr>
                <w:p w14:paraId="2A5D0BC5" w14:textId="77777777" w:rsidR="00887E56" w:rsidRPr="00ED41A3" w:rsidRDefault="00887E56" w:rsidP="00C1219C">
                  <w:pPr>
                    <w:jc w:val="center"/>
                    <w:rPr>
                      <w:color w:val="000000"/>
                    </w:rPr>
                  </w:pPr>
                  <w:r w:rsidRPr="00ED41A3">
                    <w:rPr>
                      <w:color w:val="000000"/>
                    </w:rPr>
                    <w:t>733</w:t>
                  </w:r>
                </w:p>
              </w:tc>
              <w:tc>
                <w:tcPr>
                  <w:tcW w:w="1481" w:type="dxa"/>
                  <w:tcBorders>
                    <w:top w:val="nil"/>
                    <w:left w:val="nil"/>
                    <w:bottom w:val="nil"/>
                    <w:right w:val="nil"/>
                  </w:tcBorders>
                  <w:shd w:val="clear" w:color="auto" w:fill="auto"/>
                  <w:noWrap/>
                  <w:vAlign w:val="center"/>
                  <w:hideMark/>
                </w:tcPr>
                <w:p w14:paraId="4E994C6C" w14:textId="77777777" w:rsidR="00887E56" w:rsidRPr="00ED41A3" w:rsidRDefault="00887E56" w:rsidP="00C1219C">
                  <w:pPr>
                    <w:jc w:val="center"/>
                    <w:rPr>
                      <w:color w:val="000000"/>
                    </w:rPr>
                  </w:pPr>
                  <w:r w:rsidRPr="00ED41A3">
                    <w:rPr>
                      <w:color w:val="000000"/>
                    </w:rPr>
                    <w:t>750</w:t>
                  </w:r>
                </w:p>
              </w:tc>
            </w:tr>
            <w:tr w:rsidR="00887E56" w:rsidRPr="00ED41A3" w14:paraId="1DF4E678" w14:textId="77777777" w:rsidTr="00C1219C">
              <w:trPr>
                <w:trHeight w:val="334"/>
              </w:trPr>
              <w:tc>
                <w:tcPr>
                  <w:tcW w:w="2758" w:type="dxa"/>
                  <w:tcBorders>
                    <w:top w:val="nil"/>
                    <w:left w:val="nil"/>
                    <w:bottom w:val="nil"/>
                    <w:right w:val="nil"/>
                  </w:tcBorders>
                  <w:shd w:val="clear" w:color="auto" w:fill="auto"/>
                  <w:noWrap/>
                  <w:vAlign w:val="center"/>
                </w:tcPr>
                <w:p w14:paraId="5C872EC5" w14:textId="77777777" w:rsidR="00887E56" w:rsidRPr="00ED41A3" w:rsidRDefault="00887E56" w:rsidP="00C1219C">
                  <w:pPr>
                    <w:jc w:val="center"/>
                    <w:rPr>
                      <w:color w:val="000000"/>
                    </w:rPr>
                  </w:pPr>
                  <w:r w:rsidRPr="00ED41A3">
                    <w:rPr>
                      <w:color w:val="000000"/>
                    </w:rPr>
                    <w:t>Number of Employees</w:t>
                  </w:r>
                </w:p>
              </w:tc>
              <w:tc>
                <w:tcPr>
                  <w:tcW w:w="1481" w:type="dxa"/>
                  <w:tcBorders>
                    <w:top w:val="nil"/>
                    <w:left w:val="nil"/>
                    <w:bottom w:val="nil"/>
                    <w:right w:val="nil"/>
                  </w:tcBorders>
                  <w:shd w:val="clear" w:color="auto" w:fill="auto"/>
                  <w:noWrap/>
                  <w:vAlign w:val="center"/>
                </w:tcPr>
                <w:p w14:paraId="491A22F8" w14:textId="77777777" w:rsidR="00887E56" w:rsidRPr="00ED41A3" w:rsidRDefault="00887E56" w:rsidP="00C1219C">
                  <w:pPr>
                    <w:jc w:val="center"/>
                    <w:rPr>
                      <w:color w:val="000000"/>
                    </w:rPr>
                  </w:pPr>
                  <w:r w:rsidRPr="00ED41A3">
                    <w:rPr>
                      <w:color w:val="000000"/>
                    </w:rPr>
                    <w:t>312,000</w:t>
                  </w:r>
                </w:p>
              </w:tc>
              <w:tc>
                <w:tcPr>
                  <w:tcW w:w="1481" w:type="dxa"/>
                  <w:tcBorders>
                    <w:top w:val="nil"/>
                    <w:left w:val="nil"/>
                    <w:bottom w:val="nil"/>
                    <w:right w:val="nil"/>
                  </w:tcBorders>
                  <w:shd w:val="clear" w:color="auto" w:fill="auto"/>
                  <w:noWrap/>
                  <w:vAlign w:val="center"/>
                </w:tcPr>
                <w:p w14:paraId="0ABC510C" w14:textId="77777777" w:rsidR="00887E56" w:rsidRPr="00ED41A3" w:rsidRDefault="00887E56" w:rsidP="00C1219C">
                  <w:pPr>
                    <w:jc w:val="center"/>
                    <w:rPr>
                      <w:color w:val="000000"/>
                    </w:rPr>
                  </w:pPr>
                  <w:r w:rsidRPr="00ED41A3">
                    <w:rPr>
                      <w:color w:val="000000"/>
                    </w:rPr>
                    <w:t>276,005</w:t>
                  </w:r>
                </w:p>
              </w:tc>
              <w:tc>
                <w:tcPr>
                  <w:tcW w:w="1481" w:type="dxa"/>
                  <w:tcBorders>
                    <w:top w:val="nil"/>
                    <w:left w:val="nil"/>
                    <w:bottom w:val="nil"/>
                    <w:right w:val="nil"/>
                  </w:tcBorders>
                  <w:shd w:val="clear" w:color="auto" w:fill="auto"/>
                  <w:noWrap/>
                  <w:vAlign w:val="center"/>
                </w:tcPr>
                <w:p w14:paraId="757E01BD" w14:textId="77777777" w:rsidR="00887E56" w:rsidRPr="00ED41A3" w:rsidRDefault="00887E56" w:rsidP="00C1219C">
                  <w:pPr>
                    <w:jc w:val="center"/>
                    <w:rPr>
                      <w:color w:val="000000"/>
                    </w:rPr>
                  </w:pPr>
                  <w:r w:rsidRPr="00ED41A3">
                    <w:rPr>
                      <w:color w:val="000000"/>
                    </w:rPr>
                    <w:t>219,281</w:t>
                  </w:r>
                </w:p>
              </w:tc>
              <w:tc>
                <w:tcPr>
                  <w:tcW w:w="1481" w:type="dxa"/>
                  <w:tcBorders>
                    <w:top w:val="nil"/>
                    <w:left w:val="nil"/>
                    <w:bottom w:val="nil"/>
                    <w:right w:val="nil"/>
                  </w:tcBorders>
                  <w:shd w:val="clear" w:color="auto" w:fill="auto"/>
                  <w:noWrap/>
                  <w:vAlign w:val="center"/>
                </w:tcPr>
                <w:p w14:paraId="7E159B54" w14:textId="77777777" w:rsidR="00887E56" w:rsidRPr="00ED41A3" w:rsidRDefault="00887E56" w:rsidP="00C1219C">
                  <w:pPr>
                    <w:jc w:val="center"/>
                    <w:rPr>
                      <w:color w:val="000000"/>
                    </w:rPr>
                  </w:pPr>
                  <w:r w:rsidRPr="00ED41A3">
                    <w:rPr>
                      <w:color w:val="000000"/>
                    </w:rPr>
                    <w:t>284,018</w:t>
                  </w:r>
                </w:p>
              </w:tc>
            </w:tr>
            <w:tr w:rsidR="00887E56" w:rsidRPr="00ED41A3" w14:paraId="78CBBB1A" w14:textId="77777777" w:rsidTr="00C1219C">
              <w:trPr>
                <w:trHeight w:val="334"/>
              </w:trPr>
              <w:tc>
                <w:tcPr>
                  <w:tcW w:w="2758" w:type="dxa"/>
                  <w:tcBorders>
                    <w:top w:val="nil"/>
                    <w:left w:val="nil"/>
                    <w:bottom w:val="nil"/>
                    <w:right w:val="nil"/>
                  </w:tcBorders>
                  <w:shd w:val="clear" w:color="auto" w:fill="auto"/>
                  <w:noWrap/>
                  <w:vAlign w:val="center"/>
                </w:tcPr>
                <w:p w14:paraId="22E89F17" w14:textId="77777777" w:rsidR="00887E56" w:rsidRPr="00ED41A3" w:rsidRDefault="00887E56" w:rsidP="00C1219C">
                  <w:pPr>
                    <w:jc w:val="center"/>
                    <w:rPr>
                      <w:color w:val="000000"/>
                    </w:rPr>
                  </w:pPr>
                  <w:r w:rsidRPr="00ED41A3">
                    <w:rPr>
                      <w:color w:val="000000"/>
                    </w:rPr>
                    <w:t>Gross Revenues ($bn)</w:t>
                  </w:r>
                </w:p>
              </w:tc>
              <w:tc>
                <w:tcPr>
                  <w:tcW w:w="1481" w:type="dxa"/>
                  <w:tcBorders>
                    <w:top w:val="nil"/>
                    <w:left w:val="nil"/>
                    <w:bottom w:val="nil"/>
                    <w:right w:val="nil"/>
                  </w:tcBorders>
                  <w:shd w:val="clear" w:color="auto" w:fill="auto"/>
                  <w:noWrap/>
                  <w:vAlign w:val="center"/>
                </w:tcPr>
                <w:p w14:paraId="512BFB6A" w14:textId="1D304CCE" w:rsidR="00887E56" w:rsidRPr="00ED41A3" w:rsidRDefault="008709BB" w:rsidP="00C1219C">
                  <w:pPr>
                    <w:jc w:val="center"/>
                    <w:rPr>
                      <w:color w:val="000000"/>
                    </w:rPr>
                  </w:pPr>
                  <w:r>
                    <w:rPr>
                      <w:color w:val="000000"/>
                    </w:rPr>
                    <w:t>50.4</w:t>
                  </w:r>
                </w:p>
              </w:tc>
              <w:tc>
                <w:tcPr>
                  <w:tcW w:w="1481" w:type="dxa"/>
                  <w:tcBorders>
                    <w:top w:val="nil"/>
                    <w:left w:val="nil"/>
                    <w:bottom w:val="nil"/>
                    <w:right w:val="nil"/>
                  </w:tcBorders>
                  <w:shd w:val="clear" w:color="auto" w:fill="auto"/>
                  <w:noWrap/>
                  <w:vAlign w:val="center"/>
                </w:tcPr>
                <w:p w14:paraId="1F58E4FB" w14:textId="0C3111C2" w:rsidR="00887E56" w:rsidRPr="00ED41A3" w:rsidRDefault="008709BB" w:rsidP="00C1219C">
                  <w:pPr>
                    <w:jc w:val="center"/>
                    <w:rPr>
                      <w:color w:val="000000"/>
                    </w:rPr>
                  </w:pPr>
                  <w:r>
                    <w:rPr>
                      <w:color w:val="000000"/>
                    </w:rPr>
                    <w:t>45.1</w:t>
                  </w:r>
                </w:p>
              </w:tc>
              <w:tc>
                <w:tcPr>
                  <w:tcW w:w="1481" w:type="dxa"/>
                  <w:tcBorders>
                    <w:top w:val="nil"/>
                    <w:left w:val="nil"/>
                    <w:bottom w:val="nil"/>
                    <w:right w:val="nil"/>
                  </w:tcBorders>
                  <w:shd w:val="clear" w:color="auto" w:fill="auto"/>
                  <w:noWrap/>
                  <w:vAlign w:val="center"/>
                </w:tcPr>
                <w:p w14:paraId="305531FF" w14:textId="2591B43D" w:rsidR="00887E56" w:rsidRPr="00ED41A3" w:rsidRDefault="008709BB" w:rsidP="00C1219C">
                  <w:pPr>
                    <w:jc w:val="center"/>
                    <w:rPr>
                      <w:color w:val="000000"/>
                    </w:rPr>
                  </w:pPr>
                  <w:r>
                    <w:rPr>
                      <w:color w:val="000000"/>
                    </w:rPr>
                    <w:t>32.1</w:t>
                  </w:r>
                </w:p>
              </w:tc>
              <w:tc>
                <w:tcPr>
                  <w:tcW w:w="1481" w:type="dxa"/>
                  <w:tcBorders>
                    <w:top w:val="nil"/>
                    <w:left w:val="nil"/>
                    <w:bottom w:val="nil"/>
                    <w:right w:val="nil"/>
                  </w:tcBorders>
                  <w:shd w:val="clear" w:color="auto" w:fill="auto"/>
                  <w:noWrap/>
                  <w:vAlign w:val="center"/>
                </w:tcPr>
                <w:p w14:paraId="4F6BE20C" w14:textId="0AD1A1E4" w:rsidR="00887E56" w:rsidRPr="00ED41A3" w:rsidRDefault="008709BB" w:rsidP="00C1219C">
                  <w:pPr>
                    <w:jc w:val="center"/>
                    <w:rPr>
                      <w:color w:val="000000"/>
                    </w:rPr>
                  </w:pPr>
                  <w:r>
                    <w:rPr>
                      <w:color w:val="000000"/>
                    </w:rPr>
                    <w:t>40</w:t>
                  </w:r>
                </w:p>
              </w:tc>
            </w:tr>
          </w:tbl>
          <w:p w14:paraId="3AD5BEFE" w14:textId="77777777" w:rsidR="00887E56" w:rsidRPr="00ED41A3" w:rsidRDefault="00887E56" w:rsidP="00C1219C">
            <w:pPr>
              <w:jc w:val="center"/>
            </w:pPr>
          </w:p>
        </w:tc>
      </w:tr>
      <w:tr w:rsidR="00887E56" w:rsidRPr="00ED41A3" w14:paraId="3AB45C06" w14:textId="77777777" w:rsidTr="00C1219C">
        <w:tc>
          <w:tcPr>
            <w:tcW w:w="9010" w:type="dxa"/>
            <w:tcBorders>
              <w:top w:val="single" w:sz="4" w:space="0" w:color="auto"/>
            </w:tcBorders>
          </w:tcPr>
          <w:p w14:paraId="4E19468D" w14:textId="36F53C2E" w:rsidR="00887E56" w:rsidRPr="00ED41A3" w:rsidRDefault="00887E56" w:rsidP="00C1219C">
            <w:r w:rsidRPr="00ED41A3">
              <w:rPr>
                <w:i/>
                <w:iCs/>
              </w:rPr>
              <w:t>Source</w:t>
            </w:r>
            <w:r w:rsidRPr="00ED41A3">
              <w:t xml:space="preserve">: Own Calculation. </w:t>
            </w:r>
            <w:r w:rsidRPr="00ED41A3">
              <w:rPr>
                <w:i/>
                <w:iCs/>
              </w:rPr>
              <w:t>Data</w:t>
            </w:r>
            <w:r w:rsidRPr="00ED41A3">
              <w:t xml:space="preserve">: Corporate websites, selected annual reports and press releases, and for employment data for 2004, Cruz </w:t>
            </w:r>
            <w:r w:rsidRPr="00ED41A3">
              <w:fldChar w:fldCharType="begin" w:fldLock="1"/>
            </w:r>
            <w:r w:rsidRPr="00ED41A3">
              <w:instrText>ADDIN CSL_CITATION {"citationItems":[{"id":"ITEM-1","itemData":{"author":[{"dropping-particle":"","family":"Cruz","given":"Norman E.","non-dropping-particle":"","parse-names":false,"suffix":""}],"container-title":"Inter Metro Business Journal","id":"ITEM-1","issue":"10","issued":{"date-parts":[["2014"]]},"page":"1-14","title":"International Accounting Firms: The Big","type":"article-journal","volume":"10"},"suppress-author":1,"uris":["http://www.mendeley.com/documents/?uuid=29b26a1d-b6ac-42c7-93a4-f93bf2bbf875"]}],"mendeley":{"formattedCitation":"(2014)","plainTextFormattedCitation":"(2014)","previouslyFormattedCitation":"(2014)"},"properties":{"noteIndex":0},"schema":"https://github.com/citation-style-language/schema/raw/master/csl-citation.json"}</w:instrText>
            </w:r>
            <w:r w:rsidRPr="00ED41A3">
              <w:fldChar w:fldCharType="separate"/>
            </w:r>
            <w:r w:rsidRPr="00ED41A3">
              <w:rPr>
                <w:noProof/>
              </w:rPr>
              <w:t>(2014)</w:t>
            </w:r>
            <w:r w:rsidRPr="00ED41A3">
              <w:fldChar w:fldCharType="end"/>
            </w:r>
            <w:r w:rsidRPr="00ED41A3">
              <w:t>.</w:t>
            </w:r>
            <w:r w:rsidR="008709BB">
              <w:t xml:space="preserve"> Notes: The gross revenues correspond to 2021, whereas the other variables to 2019.</w:t>
            </w:r>
          </w:p>
        </w:tc>
      </w:tr>
    </w:tbl>
    <w:p w14:paraId="3E3B617C" w14:textId="4864D5C3" w:rsidR="00887E56" w:rsidRDefault="00887E56"/>
    <w:p w14:paraId="5F696823" w14:textId="450F23A2" w:rsidR="00887E56" w:rsidRPr="00E10813" w:rsidRDefault="00E10813">
      <w:pPr>
        <w:rPr>
          <w:b/>
          <w:bCs/>
        </w:rPr>
      </w:pPr>
      <w:r w:rsidRPr="00E10813">
        <w:rPr>
          <w:b/>
          <w:bCs/>
        </w:rPr>
        <w:t>Section B</w:t>
      </w:r>
    </w:p>
    <w:p w14:paraId="29AB0591" w14:textId="77777777" w:rsidR="00E10813" w:rsidRDefault="00E10813"/>
    <w:p w14:paraId="1A1E2EC6" w14:textId="77777777" w:rsidR="00887E56" w:rsidRPr="00887E56" w:rsidRDefault="00887E56" w:rsidP="00887E56">
      <w:pPr>
        <w:pStyle w:val="ListParagraph"/>
        <w:ind w:left="0"/>
        <w:jc w:val="both"/>
        <w:rPr>
          <w:color w:val="000000" w:themeColor="text1"/>
        </w:rPr>
      </w:pPr>
      <w:r w:rsidRPr="00887E56">
        <w:rPr>
          <w:color w:val="000000" w:themeColor="text1"/>
        </w:rPr>
        <w:t>Questions guiding semi-structured interview with the Big Four professionals:</w:t>
      </w:r>
    </w:p>
    <w:p w14:paraId="12F53315" w14:textId="77777777" w:rsidR="00887E56" w:rsidRPr="00A81F25" w:rsidRDefault="00887E56" w:rsidP="00887E56">
      <w:pPr>
        <w:pStyle w:val="ListParagraph"/>
        <w:ind w:left="0"/>
        <w:jc w:val="both"/>
        <w:rPr>
          <w:color w:val="000000" w:themeColor="text1"/>
        </w:rPr>
      </w:pPr>
    </w:p>
    <w:p w14:paraId="63B5553D" w14:textId="77777777" w:rsidR="00887E56" w:rsidRPr="00A81F25" w:rsidRDefault="00887E56" w:rsidP="00887E56">
      <w:pPr>
        <w:pStyle w:val="NormalWeb"/>
        <w:numPr>
          <w:ilvl w:val="0"/>
          <w:numId w:val="31"/>
        </w:numPr>
        <w:spacing w:before="0" w:beforeAutospacing="0" w:after="0" w:afterAutospacing="0"/>
        <w:jc w:val="both"/>
        <w:rPr>
          <w:color w:val="000000" w:themeColor="text1"/>
        </w:rPr>
      </w:pPr>
      <w:r w:rsidRPr="00A81F25">
        <w:rPr>
          <w:color w:val="000000" w:themeColor="text1"/>
        </w:rPr>
        <w:t>What is the organizational structure of [</w:t>
      </w:r>
      <w:r w:rsidRPr="00864A95">
        <w:rPr>
          <w:color w:val="000000" w:themeColor="text1"/>
        </w:rPr>
        <w:t>your company</w:t>
      </w:r>
      <w:r w:rsidRPr="00A81F25">
        <w:rPr>
          <w:color w:val="000000" w:themeColor="text1"/>
        </w:rPr>
        <w:t xml:space="preserve">] globally, in terms of groups of services, sectors, ownership and geographies? What is the role of global and regional headquarters within that structure? </w:t>
      </w:r>
    </w:p>
    <w:p w14:paraId="3E93F03C" w14:textId="77777777" w:rsidR="00887E56" w:rsidRPr="00A81F25" w:rsidRDefault="00887E56" w:rsidP="00887E56">
      <w:pPr>
        <w:pStyle w:val="NormalWeb"/>
        <w:numPr>
          <w:ilvl w:val="0"/>
          <w:numId w:val="31"/>
        </w:numPr>
        <w:spacing w:before="0" w:beforeAutospacing="0" w:after="0" w:afterAutospacing="0"/>
        <w:jc w:val="both"/>
        <w:rPr>
          <w:color w:val="000000" w:themeColor="text1"/>
        </w:rPr>
      </w:pPr>
      <w:r w:rsidRPr="00A81F25">
        <w:rPr>
          <w:color w:val="000000" w:themeColor="text1"/>
        </w:rPr>
        <w:t>How much autonomy do different parts of [</w:t>
      </w:r>
      <w:r w:rsidRPr="008E4F21">
        <w:rPr>
          <w:color w:val="000000" w:themeColor="text1"/>
        </w:rPr>
        <w:t>your company</w:t>
      </w:r>
      <w:r w:rsidRPr="00A81F25">
        <w:rPr>
          <w:color w:val="000000" w:themeColor="text1"/>
        </w:rPr>
        <w:t>] have? How integrated is [</w:t>
      </w:r>
      <w:r w:rsidRPr="008E4F21">
        <w:rPr>
          <w:color w:val="000000" w:themeColor="text1"/>
        </w:rPr>
        <w:t>your company</w:t>
      </w:r>
      <w:r w:rsidRPr="00A81F25">
        <w:rPr>
          <w:color w:val="000000" w:themeColor="text1"/>
        </w:rPr>
        <w:t xml:space="preserve">] internationally, and how has it changed over the last decade/s? </w:t>
      </w:r>
    </w:p>
    <w:p w14:paraId="4C73F6ED" w14:textId="77777777" w:rsidR="00887E56" w:rsidRPr="00A81F25" w:rsidRDefault="00887E56" w:rsidP="00887E56">
      <w:pPr>
        <w:pStyle w:val="NormalWeb"/>
        <w:numPr>
          <w:ilvl w:val="0"/>
          <w:numId w:val="31"/>
        </w:numPr>
        <w:spacing w:before="0" w:beforeAutospacing="0" w:after="0" w:afterAutospacing="0"/>
        <w:jc w:val="both"/>
        <w:rPr>
          <w:color w:val="000000" w:themeColor="text1"/>
        </w:rPr>
      </w:pPr>
      <w:r w:rsidRPr="00A81F25">
        <w:rPr>
          <w:color w:val="000000" w:themeColor="text1"/>
        </w:rPr>
        <w:t>What are the driving factors of the relative performance of [</w:t>
      </w:r>
      <w:r w:rsidRPr="008E4F21">
        <w:rPr>
          <w:color w:val="000000" w:themeColor="text1"/>
        </w:rPr>
        <w:t>your company</w:t>
      </w:r>
      <w:r w:rsidRPr="00A81F25">
        <w:rPr>
          <w:color w:val="000000" w:themeColor="text1"/>
        </w:rPr>
        <w:t xml:space="preserve">] in relation to other Big Four companies in terms of gross revenues? How do these factors differ between groups of services and geographical regions? </w:t>
      </w:r>
    </w:p>
    <w:p w14:paraId="17D4C6BB" w14:textId="77777777" w:rsidR="00887E56" w:rsidRPr="00A81F25" w:rsidRDefault="00887E56" w:rsidP="00887E56">
      <w:pPr>
        <w:pStyle w:val="NormalWeb"/>
        <w:numPr>
          <w:ilvl w:val="0"/>
          <w:numId w:val="31"/>
        </w:numPr>
        <w:spacing w:before="0" w:beforeAutospacing="0" w:after="0" w:afterAutospacing="0"/>
        <w:jc w:val="both"/>
        <w:rPr>
          <w:color w:val="000000" w:themeColor="text1"/>
        </w:rPr>
      </w:pPr>
      <w:r w:rsidRPr="00A81F25">
        <w:rPr>
          <w:color w:val="000000" w:themeColor="text1"/>
        </w:rPr>
        <w:t>How has the market share of [</w:t>
      </w:r>
      <w:r w:rsidRPr="008E4F21">
        <w:rPr>
          <w:color w:val="000000" w:themeColor="text1"/>
        </w:rPr>
        <w:t>your company</w:t>
      </w:r>
      <w:r w:rsidRPr="00A81F25">
        <w:rPr>
          <w:color w:val="000000" w:themeColor="text1"/>
        </w:rPr>
        <w:t xml:space="preserve">] changed over the last decade in various groups of services and markets? </w:t>
      </w:r>
    </w:p>
    <w:p w14:paraId="58D8A53C" w14:textId="77777777" w:rsidR="00887E56" w:rsidRPr="00A81F25" w:rsidRDefault="00887E56" w:rsidP="00887E56">
      <w:pPr>
        <w:pStyle w:val="NormalWeb"/>
        <w:numPr>
          <w:ilvl w:val="0"/>
          <w:numId w:val="31"/>
        </w:numPr>
        <w:spacing w:before="0" w:beforeAutospacing="0" w:after="0" w:afterAutospacing="0"/>
        <w:jc w:val="both"/>
        <w:rPr>
          <w:color w:val="000000" w:themeColor="text1"/>
        </w:rPr>
      </w:pPr>
      <w:r w:rsidRPr="00A81F25">
        <w:rPr>
          <w:color w:val="000000" w:themeColor="text1"/>
        </w:rPr>
        <w:t>How important are services for governments and the public sector for [</w:t>
      </w:r>
      <w:r w:rsidRPr="008E4F21">
        <w:rPr>
          <w:color w:val="000000" w:themeColor="text1"/>
        </w:rPr>
        <w:t>your company</w:t>
      </w:r>
      <w:r w:rsidRPr="00A81F25">
        <w:rPr>
          <w:color w:val="000000" w:themeColor="text1"/>
        </w:rPr>
        <w:t xml:space="preserve">]? </w:t>
      </w:r>
    </w:p>
    <w:p w14:paraId="0A47DC92" w14:textId="77777777" w:rsidR="00887E56" w:rsidRPr="00A81F25" w:rsidRDefault="00887E56" w:rsidP="00887E56">
      <w:pPr>
        <w:pStyle w:val="NormalWeb"/>
        <w:numPr>
          <w:ilvl w:val="0"/>
          <w:numId w:val="31"/>
        </w:numPr>
        <w:spacing w:before="0" w:beforeAutospacing="0" w:after="0" w:afterAutospacing="0"/>
        <w:jc w:val="both"/>
        <w:rPr>
          <w:color w:val="000000" w:themeColor="text1"/>
        </w:rPr>
      </w:pPr>
      <w:r w:rsidRPr="00A81F25">
        <w:rPr>
          <w:color w:val="000000" w:themeColor="text1"/>
        </w:rPr>
        <w:t>Do you expect further expansion in the global office network of [</w:t>
      </w:r>
      <w:r w:rsidRPr="008E4F21">
        <w:rPr>
          <w:color w:val="000000" w:themeColor="text1"/>
        </w:rPr>
        <w:t>your company</w:t>
      </w:r>
      <w:r w:rsidRPr="00A81F25">
        <w:rPr>
          <w:color w:val="000000" w:themeColor="text1"/>
        </w:rPr>
        <w:t xml:space="preserve">]? </w:t>
      </w:r>
    </w:p>
    <w:p w14:paraId="01E5847D" w14:textId="77777777" w:rsidR="00887E56" w:rsidRPr="00A81F25" w:rsidRDefault="00887E56" w:rsidP="00887E56">
      <w:pPr>
        <w:pStyle w:val="NormalWeb"/>
        <w:numPr>
          <w:ilvl w:val="0"/>
          <w:numId w:val="31"/>
        </w:numPr>
        <w:spacing w:before="0" w:beforeAutospacing="0" w:after="0" w:afterAutospacing="0"/>
        <w:jc w:val="both"/>
        <w:rPr>
          <w:color w:val="000000" w:themeColor="text1"/>
        </w:rPr>
      </w:pPr>
      <w:r w:rsidRPr="00A81F25">
        <w:rPr>
          <w:color w:val="000000" w:themeColor="text1"/>
        </w:rPr>
        <w:t>What are the main challenges [</w:t>
      </w:r>
      <w:r w:rsidRPr="008E4F21">
        <w:rPr>
          <w:color w:val="000000" w:themeColor="text1"/>
        </w:rPr>
        <w:t>your company</w:t>
      </w:r>
      <w:r w:rsidRPr="00A81F25">
        <w:rPr>
          <w:color w:val="000000" w:themeColor="text1"/>
        </w:rPr>
        <w:t xml:space="preserve">] has experienced because of the pandemic? </w:t>
      </w:r>
    </w:p>
    <w:p w14:paraId="5D1872C5" w14:textId="77777777" w:rsidR="00887E56" w:rsidRPr="00A81F25" w:rsidRDefault="00887E56" w:rsidP="00887E56">
      <w:pPr>
        <w:pStyle w:val="NormalWeb"/>
        <w:numPr>
          <w:ilvl w:val="0"/>
          <w:numId w:val="31"/>
        </w:numPr>
        <w:spacing w:before="0" w:beforeAutospacing="0" w:after="0" w:afterAutospacing="0"/>
        <w:jc w:val="both"/>
        <w:rPr>
          <w:color w:val="000000" w:themeColor="text1"/>
        </w:rPr>
      </w:pPr>
      <w:r w:rsidRPr="00A81F25">
        <w:rPr>
          <w:color w:val="000000" w:themeColor="text1"/>
        </w:rPr>
        <w:t>What are the key threats and opportunities facing [</w:t>
      </w:r>
      <w:r w:rsidRPr="008E4F21">
        <w:rPr>
          <w:color w:val="000000" w:themeColor="text1"/>
        </w:rPr>
        <w:t>your company</w:t>
      </w:r>
      <w:r w:rsidRPr="00A81F25">
        <w:rPr>
          <w:color w:val="000000" w:themeColor="text1"/>
        </w:rPr>
        <w:t xml:space="preserve">] in the future? </w:t>
      </w:r>
    </w:p>
    <w:p w14:paraId="0DF7D4BA" w14:textId="77777777" w:rsidR="00887E56" w:rsidRPr="00A81F25" w:rsidRDefault="00887E56" w:rsidP="00887E56">
      <w:pPr>
        <w:pStyle w:val="NormalWeb"/>
        <w:numPr>
          <w:ilvl w:val="0"/>
          <w:numId w:val="31"/>
        </w:numPr>
        <w:spacing w:before="0" w:beforeAutospacing="0" w:after="0" w:afterAutospacing="0"/>
        <w:jc w:val="both"/>
        <w:rPr>
          <w:color w:val="000000" w:themeColor="text1"/>
        </w:rPr>
      </w:pPr>
      <w:r w:rsidRPr="00A81F25">
        <w:rPr>
          <w:color w:val="000000" w:themeColor="text1"/>
        </w:rPr>
        <w:t xml:space="preserve">Do you think the influence of </w:t>
      </w:r>
      <w:r w:rsidRPr="00864A95">
        <w:rPr>
          <w:color w:val="000000" w:themeColor="text1"/>
        </w:rPr>
        <w:t xml:space="preserve">the </w:t>
      </w:r>
      <w:r w:rsidRPr="00A81F25">
        <w:rPr>
          <w:color w:val="000000" w:themeColor="text1"/>
        </w:rPr>
        <w:t xml:space="preserve">Big Four on the world economy has changed over the last decade/s? </w:t>
      </w:r>
    </w:p>
    <w:p w14:paraId="77A88FED" w14:textId="78FA419B" w:rsidR="00887E56" w:rsidRDefault="00887E56" w:rsidP="00887E56">
      <w:pPr>
        <w:pStyle w:val="NormalWeb"/>
        <w:numPr>
          <w:ilvl w:val="0"/>
          <w:numId w:val="31"/>
        </w:numPr>
        <w:spacing w:before="0" w:beforeAutospacing="0" w:after="0" w:afterAutospacing="0"/>
        <w:jc w:val="both"/>
        <w:rPr>
          <w:color w:val="000000" w:themeColor="text1"/>
        </w:rPr>
      </w:pPr>
      <w:r w:rsidRPr="00A81F25">
        <w:rPr>
          <w:color w:val="000000" w:themeColor="text1"/>
        </w:rPr>
        <w:t xml:space="preserve">Over the next decade do you foresee any changes in the role that </w:t>
      </w:r>
      <w:r w:rsidRPr="00864A95">
        <w:rPr>
          <w:color w:val="000000" w:themeColor="text1"/>
        </w:rPr>
        <w:t xml:space="preserve">the </w:t>
      </w:r>
      <w:r w:rsidRPr="00A81F25">
        <w:rPr>
          <w:color w:val="000000" w:themeColor="text1"/>
        </w:rPr>
        <w:t xml:space="preserve">Big Four firms play in the world economy? </w:t>
      </w:r>
    </w:p>
    <w:p w14:paraId="33B3D7E3" w14:textId="156DED9E" w:rsidR="006D65C5" w:rsidRDefault="006D65C5" w:rsidP="006D65C5">
      <w:pPr>
        <w:pStyle w:val="NormalWeb"/>
        <w:spacing w:before="0" w:beforeAutospacing="0" w:after="0" w:afterAutospacing="0"/>
        <w:jc w:val="both"/>
        <w:rPr>
          <w:color w:val="000000" w:themeColor="text1"/>
        </w:rPr>
      </w:pPr>
    </w:p>
    <w:p w14:paraId="35418B2F" w14:textId="2E855A2D" w:rsidR="006D65C5" w:rsidRDefault="006D65C5" w:rsidP="006D65C5">
      <w:pPr>
        <w:pStyle w:val="NormalWeb"/>
        <w:spacing w:before="0" w:beforeAutospacing="0" w:after="0" w:afterAutospacing="0"/>
        <w:jc w:val="both"/>
        <w:rPr>
          <w:color w:val="000000" w:themeColor="text1"/>
        </w:rPr>
      </w:pPr>
    </w:p>
    <w:p w14:paraId="7527FBD0" w14:textId="77777777" w:rsidR="006D65C5" w:rsidRDefault="006D65C5" w:rsidP="006D65C5">
      <w:pPr>
        <w:pStyle w:val="ListParagraph"/>
        <w:ind w:left="0"/>
        <w:jc w:val="both"/>
        <w:rPr>
          <w:b/>
          <w:bCs/>
          <w:color w:val="000000" w:themeColor="text1"/>
        </w:rPr>
      </w:pPr>
      <w:r w:rsidRPr="00E10813">
        <w:rPr>
          <w:b/>
          <w:bCs/>
          <w:color w:val="000000" w:themeColor="text1"/>
        </w:rPr>
        <w:t>Section C</w:t>
      </w:r>
    </w:p>
    <w:p w14:paraId="39A8FC07" w14:textId="77777777" w:rsidR="00942CF4" w:rsidRDefault="00942CF4" w:rsidP="006D65C5">
      <w:pPr>
        <w:pStyle w:val="ListParagraph"/>
        <w:ind w:left="0"/>
        <w:jc w:val="both"/>
        <w:rPr>
          <w:color w:val="000000" w:themeColor="text1"/>
        </w:rPr>
      </w:pPr>
    </w:p>
    <w:p w14:paraId="2F166D82" w14:textId="25668F07" w:rsidR="00942CF4" w:rsidRDefault="00942CF4" w:rsidP="006D65C5">
      <w:pPr>
        <w:pStyle w:val="ListParagraph"/>
        <w:ind w:left="0"/>
        <w:jc w:val="both"/>
        <w:rPr>
          <w:color w:val="000000" w:themeColor="text1"/>
        </w:rPr>
      </w:pPr>
      <w:r>
        <w:rPr>
          <w:color w:val="000000" w:themeColor="text1"/>
        </w:rPr>
        <w:t>Interviews Codebook (Nvivo)</w:t>
      </w:r>
    </w:p>
    <w:p w14:paraId="782B810F" w14:textId="77777777" w:rsidR="00942CF4" w:rsidRDefault="00942CF4" w:rsidP="006D65C5">
      <w:pPr>
        <w:pStyle w:val="ListParagraph"/>
        <w:ind w:left="0"/>
        <w:jc w:val="both"/>
        <w:rPr>
          <w:color w:val="000000" w:themeColor="text1"/>
        </w:rPr>
      </w:pPr>
    </w:p>
    <w:tbl>
      <w:tblPr>
        <w:tblW w:w="5265" w:type="pct"/>
        <w:tblLayout w:type="fixed"/>
        <w:tblCellMar>
          <w:top w:w="55" w:type="dxa"/>
          <w:left w:w="55" w:type="dxa"/>
          <w:bottom w:w="55" w:type="dxa"/>
          <w:right w:w="55" w:type="dxa"/>
        </w:tblCellMar>
        <w:tblLook w:val="0000" w:firstRow="0" w:lastRow="0" w:firstColumn="0" w:lastColumn="0" w:noHBand="0" w:noVBand="0"/>
      </w:tblPr>
      <w:tblGrid>
        <w:gridCol w:w="2124"/>
        <w:gridCol w:w="5244"/>
        <w:gridCol w:w="993"/>
        <w:gridCol w:w="1134"/>
      </w:tblGrid>
      <w:tr w:rsidR="00942CF4" w:rsidRPr="00942CF4" w14:paraId="428F658A" w14:textId="77777777" w:rsidTr="00942CF4">
        <w:trPr>
          <w:trHeight w:val="461"/>
          <w:tblHeader/>
        </w:trPr>
        <w:tc>
          <w:tcPr>
            <w:tcW w:w="2124" w:type="dxa"/>
            <w:tcBorders>
              <w:top w:val="single" w:sz="2" w:space="0" w:color="DDDDDD"/>
              <w:left w:val="single" w:sz="2" w:space="0" w:color="DDDDDD"/>
              <w:bottom w:val="single" w:sz="2" w:space="0" w:color="DDDDDD"/>
            </w:tcBorders>
            <w:shd w:val="clear" w:color="auto" w:fill="6699CC"/>
            <w:vAlign w:val="center"/>
          </w:tcPr>
          <w:p w14:paraId="11EA125B" w14:textId="77777777" w:rsidR="00942CF4" w:rsidRPr="00942CF4" w:rsidRDefault="00942CF4" w:rsidP="00932352">
            <w:pPr>
              <w:pStyle w:val="TableHeading"/>
              <w:jc w:val="left"/>
              <w:rPr>
                <w:rFonts w:ascii="Times New Roman" w:hAnsi="Times New Roman" w:cs="Times New Roman"/>
                <w:color w:val="FFFFFF"/>
                <w:sz w:val="20"/>
                <w:szCs w:val="20"/>
              </w:rPr>
            </w:pPr>
            <w:r w:rsidRPr="00942CF4">
              <w:rPr>
                <w:rFonts w:ascii="Times New Roman" w:hAnsi="Times New Roman" w:cs="Times New Roman"/>
                <w:color w:val="FFFFFF"/>
                <w:sz w:val="20"/>
                <w:szCs w:val="20"/>
              </w:rPr>
              <w:t>Name</w:t>
            </w:r>
          </w:p>
        </w:tc>
        <w:tc>
          <w:tcPr>
            <w:tcW w:w="5244" w:type="dxa"/>
            <w:tcBorders>
              <w:top w:val="single" w:sz="2" w:space="0" w:color="DDDDDD"/>
              <w:left w:val="single" w:sz="2" w:space="0" w:color="DDDDDD"/>
              <w:bottom w:val="single" w:sz="2" w:space="0" w:color="DDDDDD"/>
            </w:tcBorders>
            <w:shd w:val="clear" w:color="auto" w:fill="6699CC"/>
            <w:vAlign w:val="center"/>
          </w:tcPr>
          <w:p w14:paraId="5BCEF7E9" w14:textId="77777777" w:rsidR="00942CF4" w:rsidRPr="00942CF4" w:rsidRDefault="00942CF4" w:rsidP="00932352">
            <w:pPr>
              <w:pStyle w:val="TableHeading"/>
              <w:jc w:val="left"/>
              <w:rPr>
                <w:rFonts w:ascii="Times New Roman" w:hAnsi="Times New Roman" w:cs="Times New Roman"/>
                <w:color w:val="FFFFFF"/>
                <w:sz w:val="20"/>
                <w:szCs w:val="20"/>
              </w:rPr>
            </w:pPr>
            <w:r w:rsidRPr="00942CF4">
              <w:rPr>
                <w:rFonts w:ascii="Times New Roman" w:hAnsi="Times New Roman" w:cs="Times New Roman"/>
                <w:color w:val="FFFFFF"/>
                <w:sz w:val="20"/>
                <w:szCs w:val="20"/>
              </w:rPr>
              <w:t>Description</w:t>
            </w:r>
          </w:p>
        </w:tc>
        <w:tc>
          <w:tcPr>
            <w:tcW w:w="993" w:type="dxa"/>
            <w:tcBorders>
              <w:top w:val="single" w:sz="2" w:space="0" w:color="DDDDDD"/>
              <w:left w:val="single" w:sz="2" w:space="0" w:color="DDDDDD"/>
              <w:bottom w:val="single" w:sz="2" w:space="0" w:color="DDDDDD"/>
            </w:tcBorders>
            <w:shd w:val="clear" w:color="auto" w:fill="6699CC"/>
            <w:vAlign w:val="center"/>
          </w:tcPr>
          <w:p w14:paraId="2E099118" w14:textId="77777777" w:rsidR="00942CF4" w:rsidRPr="00942CF4" w:rsidRDefault="00942CF4" w:rsidP="00932352">
            <w:pPr>
              <w:pStyle w:val="TableHeading"/>
              <w:rPr>
                <w:rFonts w:ascii="Times New Roman" w:hAnsi="Times New Roman" w:cs="Times New Roman"/>
                <w:color w:val="FFFFFF"/>
                <w:sz w:val="20"/>
                <w:szCs w:val="20"/>
              </w:rPr>
            </w:pPr>
            <w:r w:rsidRPr="00942CF4">
              <w:rPr>
                <w:rFonts w:ascii="Times New Roman" w:hAnsi="Times New Roman" w:cs="Times New Roman"/>
                <w:color w:val="FFFFFF"/>
                <w:sz w:val="20"/>
                <w:szCs w:val="20"/>
              </w:rPr>
              <w:t>Sources</w:t>
            </w:r>
          </w:p>
        </w:tc>
        <w:tc>
          <w:tcPr>
            <w:tcW w:w="1134" w:type="dxa"/>
            <w:tcBorders>
              <w:top w:val="single" w:sz="2" w:space="0" w:color="DDDDDD"/>
              <w:left w:val="single" w:sz="2" w:space="0" w:color="DDDDDD"/>
              <w:bottom w:val="single" w:sz="2" w:space="0" w:color="DDDDDD"/>
            </w:tcBorders>
            <w:shd w:val="clear" w:color="auto" w:fill="6699CC"/>
            <w:vAlign w:val="center"/>
          </w:tcPr>
          <w:p w14:paraId="40100B54" w14:textId="77777777" w:rsidR="00942CF4" w:rsidRPr="00942CF4" w:rsidRDefault="00942CF4" w:rsidP="00932352">
            <w:pPr>
              <w:pStyle w:val="TableHeading"/>
              <w:rPr>
                <w:rFonts w:ascii="Times New Roman" w:hAnsi="Times New Roman" w:cs="Times New Roman"/>
                <w:color w:val="FFFFFF"/>
                <w:sz w:val="20"/>
                <w:szCs w:val="20"/>
              </w:rPr>
            </w:pPr>
            <w:r w:rsidRPr="00942CF4">
              <w:rPr>
                <w:rFonts w:ascii="Times New Roman" w:hAnsi="Times New Roman" w:cs="Times New Roman"/>
                <w:color w:val="FFFFFF"/>
                <w:sz w:val="20"/>
                <w:szCs w:val="20"/>
              </w:rPr>
              <w:t>References</w:t>
            </w:r>
          </w:p>
        </w:tc>
      </w:tr>
      <w:tr w:rsidR="00942CF4" w:rsidRPr="00942CF4" w14:paraId="10758362" w14:textId="77777777" w:rsidTr="00942CF4">
        <w:trPr>
          <w:trHeight w:val="715"/>
        </w:trPr>
        <w:tc>
          <w:tcPr>
            <w:tcW w:w="2124" w:type="dxa"/>
            <w:tcBorders>
              <w:left w:val="single" w:sz="2" w:space="0" w:color="DDDDDD"/>
              <w:bottom w:val="single" w:sz="2" w:space="0" w:color="DDDDDD"/>
            </w:tcBorders>
          </w:tcPr>
          <w:p w14:paraId="123738AD" w14:textId="77777777" w:rsidR="00942CF4" w:rsidRPr="00942CF4" w:rsidRDefault="00942CF4" w:rsidP="00932352">
            <w:pPr>
              <w:pStyle w:val="TableContents"/>
              <w:rPr>
                <w:rFonts w:ascii="Times New Roman" w:hAnsi="Times New Roman" w:cs="Times New Roman"/>
                <w:sz w:val="21"/>
                <w:szCs w:val="21"/>
              </w:rPr>
            </w:pPr>
            <w:r w:rsidRPr="00942CF4">
              <w:rPr>
                <w:rFonts w:ascii="Times New Roman" w:hAnsi="Times New Roman" w:cs="Times New Roman"/>
                <w:sz w:val="21"/>
                <w:szCs w:val="21"/>
              </w:rPr>
              <w:t>Competition and Consolidation</w:t>
            </w:r>
          </w:p>
        </w:tc>
        <w:tc>
          <w:tcPr>
            <w:tcW w:w="5244" w:type="dxa"/>
            <w:tcBorders>
              <w:left w:val="single" w:sz="2" w:space="0" w:color="DDDDDD"/>
              <w:bottom w:val="single" w:sz="2" w:space="0" w:color="DDDDDD"/>
            </w:tcBorders>
          </w:tcPr>
          <w:p w14:paraId="6B85FAA5" w14:textId="77777777" w:rsidR="00942CF4" w:rsidRPr="00942CF4" w:rsidRDefault="00942CF4" w:rsidP="00932352">
            <w:pPr>
              <w:pStyle w:val="TableContents"/>
              <w:rPr>
                <w:rFonts w:ascii="Times New Roman" w:hAnsi="Times New Roman" w:cs="Times New Roman"/>
                <w:sz w:val="21"/>
                <w:szCs w:val="21"/>
              </w:rPr>
            </w:pPr>
            <w:r w:rsidRPr="00942CF4">
              <w:rPr>
                <w:rFonts w:ascii="Times New Roman" w:hAnsi="Times New Roman" w:cs="Times New Roman"/>
                <w:sz w:val="21"/>
                <w:szCs w:val="21"/>
              </w:rPr>
              <w:t>Comments referring to the competition pressures in the markets of accounting, auditing, business consulting services and the trend of consolidation and M&amp;As.</w:t>
            </w:r>
          </w:p>
        </w:tc>
        <w:tc>
          <w:tcPr>
            <w:tcW w:w="993" w:type="dxa"/>
            <w:tcBorders>
              <w:left w:val="single" w:sz="2" w:space="0" w:color="DDDDDD"/>
              <w:bottom w:val="single" w:sz="2" w:space="0" w:color="DDDDDD"/>
            </w:tcBorders>
          </w:tcPr>
          <w:p w14:paraId="0DED75D2" w14:textId="77777777" w:rsidR="00942CF4" w:rsidRPr="00942CF4" w:rsidRDefault="00942CF4" w:rsidP="00932352">
            <w:pPr>
              <w:pStyle w:val="TableContents"/>
              <w:jc w:val="right"/>
              <w:rPr>
                <w:rFonts w:ascii="Times New Roman" w:hAnsi="Times New Roman" w:cs="Times New Roman"/>
                <w:sz w:val="21"/>
                <w:szCs w:val="21"/>
              </w:rPr>
            </w:pPr>
            <w:r w:rsidRPr="00942CF4">
              <w:rPr>
                <w:rFonts w:ascii="Times New Roman" w:hAnsi="Times New Roman" w:cs="Times New Roman"/>
                <w:sz w:val="21"/>
                <w:szCs w:val="21"/>
              </w:rPr>
              <w:t>9</w:t>
            </w:r>
          </w:p>
        </w:tc>
        <w:tc>
          <w:tcPr>
            <w:tcW w:w="1134" w:type="dxa"/>
            <w:tcBorders>
              <w:left w:val="single" w:sz="2" w:space="0" w:color="DDDDDD"/>
              <w:bottom w:val="single" w:sz="2" w:space="0" w:color="DDDDDD"/>
              <w:right w:val="single" w:sz="2" w:space="0" w:color="DDDDDD"/>
            </w:tcBorders>
          </w:tcPr>
          <w:p w14:paraId="69CD9FBA" w14:textId="77777777" w:rsidR="00942CF4" w:rsidRPr="00942CF4" w:rsidRDefault="00942CF4" w:rsidP="00932352">
            <w:pPr>
              <w:pStyle w:val="TableContents"/>
              <w:jc w:val="right"/>
              <w:rPr>
                <w:rFonts w:ascii="Times New Roman" w:hAnsi="Times New Roman" w:cs="Times New Roman"/>
                <w:sz w:val="21"/>
                <w:szCs w:val="21"/>
              </w:rPr>
            </w:pPr>
            <w:r w:rsidRPr="00942CF4">
              <w:rPr>
                <w:rFonts w:ascii="Times New Roman" w:hAnsi="Times New Roman" w:cs="Times New Roman"/>
                <w:sz w:val="21"/>
                <w:szCs w:val="21"/>
              </w:rPr>
              <w:t>13</w:t>
            </w:r>
          </w:p>
        </w:tc>
      </w:tr>
      <w:tr w:rsidR="00942CF4" w:rsidRPr="00942CF4" w14:paraId="67046C61" w14:textId="77777777" w:rsidTr="00942CF4">
        <w:trPr>
          <w:trHeight w:val="736"/>
        </w:trPr>
        <w:tc>
          <w:tcPr>
            <w:tcW w:w="2124" w:type="dxa"/>
            <w:tcBorders>
              <w:left w:val="single" w:sz="2" w:space="0" w:color="DDDDDD"/>
              <w:bottom w:val="single" w:sz="2" w:space="0" w:color="DDDDDD"/>
            </w:tcBorders>
            <w:shd w:val="clear" w:color="auto" w:fill="EEEEEE"/>
          </w:tcPr>
          <w:p w14:paraId="073DEDCB" w14:textId="77777777" w:rsidR="00942CF4" w:rsidRPr="00942CF4" w:rsidRDefault="00942CF4" w:rsidP="00932352">
            <w:pPr>
              <w:pStyle w:val="TableContents"/>
              <w:rPr>
                <w:rFonts w:ascii="Times New Roman" w:hAnsi="Times New Roman" w:cs="Times New Roman"/>
                <w:sz w:val="21"/>
                <w:szCs w:val="21"/>
              </w:rPr>
            </w:pPr>
            <w:r w:rsidRPr="00942CF4">
              <w:rPr>
                <w:rFonts w:ascii="Times New Roman" w:hAnsi="Times New Roman" w:cs="Times New Roman"/>
                <w:sz w:val="21"/>
                <w:szCs w:val="21"/>
              </w:rPr>
              <w:t>Digitalization and Strategic Alliances</w:t>
            </w:r>
          </w:p>
        </w:tc>
        <w:tc>
          <w:tcPr>
            <w:tcW w:w="5244" w:type="dxa"/>
            <w:tcBorders>
              <w:left w:val="single" w:sz="2" w:space="0" w:color="DDDDDD"/>
              <w:bottom w:val="single" w:sz="2" w:space="0" w:color="DDDDDD"/>
            </w:tcBorders>
            <w:shd w:val="clear" w:color="auto" w:fill="EEEEEE"/>
          </w:tcPr>
          <w:p w14:paraId="6DD83825" w14:textId="77777777" w:rsidR="00942CF4" w:rsidRPr="00942CF4" w:rsidRDefault="00942CF4" w:rsidP="00932352">
            <w:pPr>
              <w:pStyle w:val="TableContents"/>
              <w:rPr>
                <w:rFonts w:ascii="Times New Roman" w:hAnsi="Times New Roman" w:cs="Times New Roman"/>
                <w:sz w:val="21"/>
                <w:szCs w:val="21"/>
              </w:rPr>
            </w:pPr>
            <w:r w:rsidRPr="00942CF4">
              <w:rPr>
                <w:rFonts w:ascii="Times New Roman" w:hAnsi="Times New Roman" w:cs="Times New Roman"/>
                <w:sz w:val="21"/>
                <w:szCs w:val="21"/>
              </w:rPr>
              <w:t xml:space="preserve">Comments referring to the process of digitalization and the formation of strategic alliances with other Advanced Business Services firms and </w:t>
            </w:r>
            <w:proofErr w:type="spellStart"/>
            <w:r w:rsidRPr="00942CF4">
              <w:rPr>
                <w:rFonts w:ascii="Times New Roman" w:hAnsi="Times New Roman" w:cs="Times New Roman"/>
                <w:sz w:val="21"/>
                <w:szCs w:val="21"/>
              </w:rPr>
              <w:t>BigTech</w:t>
            </w:r>
            <w:proofErr w:type="spellEnd"/>
            <w:r w:rsidRPr="00942CF4">
              <w:rPr>
                <w:rFonts w:ascii="Times New Roman" w:hAnsi="Times New Roman" w:cs="Times New Roman"/>
                <w:sz w:val="21"/>
                <w:szCs w:val="21"/>
              </w:rPr>
              <w:t xml:space="preserve"> firms.</w:t>
            </w:r>
          </w:p>
        </w:tc>
        <w:tc>
          <w:tcPr>
            <w:tcW w:w="993" w:type="dxa"/>
            <w:tcBorders>
              <w:left w:val="single" w:sz="2" w:space="0" w:color="DDDDDD"/>
              <w:bottom w:val="single" w:sz="2" w:space="0" w:color="DDDDDD"/>
            </w:tcBorders>
            <w:shd w:val="clear" w:color="auto" w:fill="EEEEEE"/>
          </w:tcPr>
          <w:p w14:paraId="1AEED483" w14:textId="77777777" w:rsidR="00942CF4" w:rsidRPr="00942CF4" w:rsidRDefault="00942CF4" w:rsidP="00932352">
            <w:pPr>
              <w:pStyle w:val="TableContents"/>
              <w:jc w:val="right"/>
              <w:rPr>
                <w:rFonts w:ascii="Times New Roman" w:hAnsi="Times New Roman" w:cs="Times New Roman"/>
                <w:sz w:val="21"/>
                <w:szCs w:val="21"/>
              </w:rPr>
            </w:pPr>
            <w:r w:rsidRPr="00942CF4">
              <w:rPr>
                <w:rFonts w:ascii="Times New Roman" w:hAnsi="Times New Roman" w:cs="Times New Roman"/>
                <w:sz w:val="21"/>
                <w:szCs w:val="21"/>
              </w:rPr>
              <w:t>10</w:t>
            </w:r>
          </w:p>
        </w:tc>
        <w:tc>
          <w:tcPr>
            <w:tcW w:w="1134" w:type="dxa"/>
            <w:tcBorders>
              <w:left w:val="single" w:sz="2" w:space="0" w:color="DDDDDD"/>
              <w:bottom w:val="single" w:sz="2" w:space="0" w:color="DDDDDD"/>
              <w:right w:val="single" w:sz="2" w:space="0" w:color="DDDDDD"/>
            </w:tcBorders>
            <w:shd w:val="clear" w:color="auto" w:fill="EEEEEE"/>
          </w:tcPr>
          <w:p w14:paraId="575B5CD0" w14:textId="77777777" w:rsidR="00942CF4" w:rsidRPr="00942CF4" w:rsidRDefault="00942CF4" w:rsidP="00932352">
            <w:pPr>
              <w:pStyle w:val="TableContents"/>
              <w:jc w:val="right"/>
              <w:rPr>
                <w:rFonts w:ascii="Times New Roman" w:hAnsi="Times New Roman" w:cs="Times New Roman"/>
                <w:sz w:val="21"/>
                <w:szCs w:val="21"/>
              </w:rPr>
            </w:pPr>
            <w:r w:rsidRPr="00942CF4">
              <w:rPr>
                <w:rFonts w:ascii="Times New Roman" w:hAnsi="Times New Roman" w:cs="Times New Roman"/>
                <w:sz w:val="21"/>
                <w:szCs w:val="21"/>
              </w:rPr>
              <w:t>17</w:t>
            </w:r>
          </w:p>
        </w:tc>
      </w:tr>
      <w:tr w:rsidR="00942CF4" w:rsidRPr="00942CF4" w14:paraId="47FF12A1" w14:textId="77777777" w:rsidTr="00942CF4">
        <w:trPr>
          <w:trHeight w:val="981"/>
        </w:trPr>
        <w:tc>
          <w:tcPr>
            <w:tcW w:w="2124" w:type="dxa"/>
            <w:tcBorders>
              <w:left w:val="single" w:sz="2" w:space="0" w:color="DDDDDD"/>
              <w:bottom w:val="single" w:sz="2" w:space="0" w:color="DDDDDD"/>
            </w:tcBorders>
          </w:tcPr>
          <w:p w14:paraId="2FBEB6C2" w14:textId="77777777" w:rsidR="00942CF4" w:rsidRPr="00942CF4" w:rsidRDefault="00942CF4" w:rsidP="00932352">
            <w:pPr>
              <w:pStyle w:val="TableContents"/>
              <w:rPr>
                <w:rFonts w:ascii="Times New Roman" w:hAnsi="Times New Roman" w:cs="Times New Roman"/>
                <w:sz w:val="21"/>
                <w:szCs w:val="21"/>
              </w:rPr>
            </w:pPr>
            <w:r w:rsidRPr="00942CF4">
              <w:rPr>
                <w:rFonts w:ascii="Times New Roman" w:hAnsi="Times New Roman" w:cs="Times New Roman"/>
                <w:sz w:val="21"/>
                <w:szCs w:val="21"/>
              </w:rPr>
              <w:t>Financialization</w:t>
            </w:r>
          </w:p>
        </w:tc>
        <w:tc>
          <w:tcPr>
            <w:tcW w:w="5244" w:type="dxa"/>
            <w:tcBorders>
              <w:left w:val="single" w:sz="2" w:space="0" w:color="DDDDDD"/>
              <w:bottom w:val="single" w:sz="2" w:space="0" w:color="DDDDDD"/>
            </w:tcBorders>
          </w:tcPr>
          <w:p w14:paraId="4275EB12" w14:textId="77777777" w:rsidR="00942CF4" w:rsidRPr="00942CF4" w:rsidRDefault="00942CF4" w:rsidP="00932352">
            <w:pPr>
              <w:pStyle w:val="TableContents"/>
              <w:rPr>
                <w:rFonts w:ascii="Times New Roman" w:hAnsi="Times New Roman" w:cs="Times New Roman"/>
                <w:sz w:val="21"/>
                <w:szCs w:val="21"/>
              </w:rPr>
            </w:pPr>
            <w:r w:rsidRPr="00942CF4">
              <w:rPr>
                <w:rFonts w:ascii="Times New Roman" w:hAnsi="Times New Roman" w:cs="Times New Roman"/>
                <w:sz w:val="21"/>
                <w:szCs w:val="21"/>
              </w:rPr>
              <w:t>Comments referring to the process of financialization as the of the global economy, as a process of escalating influence of financial motives, markets, and institutions in modern economies</w:t>
            </w:r>
          </w:p>
        </w:tc>
        <w:tc>
          <w:tcPr>
            <w:tcW w:w="993" w:type="dxa"/>
            <w:tcBorders>
              <w:left w:val="single" w:sz="2" w:space="0" w:color="DDDDDD"/>
              <w:bottom w:val="single" w:sz="2" w:space="0" w:color="DDDDDD"/>
            </w:tcBorders>
          </w:tcPr>
          <w:p w14:paraId="40C7ED07" w14:textId="77777777" w:rsidR="00942CF4" w:rsidRPr="00942CF4" w:rsidRDefault="00942CF4" w:rsidP="00932352">
            <w:pPr>
              <w:pStyle w:val="TableContents"/>
              <w:jc w:val="right"/>
              <w:rPr>
                <w:rFonts w:ascii="Times New Roman" w:hAnsi="Times New Roman" w:cs="Times New Roman"/>
                <w:sz w:val="21"/>
                <w:szCs w:val="21"/>
              </w:rPr>
            </w:pPr>
            <w:r w:rsidRPr="00942CF4">
              <w:rPr>
                <w:rFonts w:ascii="Times New Roman" w:hAnsi="Times New Roman" w:cs="Times New Roman"/>
                <w:sz w:val="21"/>
                <w:szCs w:val="21"/>
              </w:rPr>
              <w:t>7</w:t>
            </w:r>
          </w:p>
        </w:tc>
        <w:tc>
          <w:tcPr>
            <w:tcW w:w="1134" w:type="dxa"/>
            <w:tcBorders>
              <w:left w:val="single" w:sz="2" w:space="0" w:color="DDDDDD"/>
              <w:bottom w:val="single" w:sz="2" w:space="0" w:color="DDDDDD"/>
              <w:right w:val="single" w:sz="2" w:space="0" w:color="DDDDDD"/>
            </w:tcBorders>
          </w:tcPr>
          <w:p w14:paraId="50DCF710" w14:textId="77777777" w:rsidR="00942CF4" w:rsidRPr="00942CF4" w:rsidRDefault="00942CF4" w:rsidP="00932352">
            <w:pPr>
              <w:pStyle w:val="TableContents"/>
              <w:jc w:val="right"/>
              <w:rPr>
                <w:rFonts w:ascii="Times New Roman" w:hAnsi="Times New Roman" w:cs="Times New Roman"/>
                <w:sz w:val="21"/>
                <w:szCs w:val="21"/>
              </w:rPr>
            </w:pPr>
            <w:r w:rsidRPr="00942CF4">
              <w:rPr>
                <w:rFonts w:ascii="Times New Roman" w:hAnsi="Times New Roman" w:cs="Times New Roman"/>
                <w:sz w:val="21"/>
                <w:szCs w:val="21"/>
              </w:rPr>
              <w:t>10</w:t>
            </w:r>
          </w:p>
        </w:tc>
      </w:tr>
      <w:tr w:rsidR="00942CF4" w:rsidRPr="00942CF4" w14:paraId="08D247C0" w14:textId="77777777" w:rsidTr="00942CF4">
        <w:trPr>
          <w:trHeight w:val="490"/>
        </w:trPr>
        <w:tc>
          <w:tcPr>
            <w:tcW w:w="2124" w:type="dxa"/>
            <w:tcBorders>
              <w:left w:val="single" w:sz="2" w:space="0" w:color="DDDDDD"/>
              <w:bottom w:val="single" w:sz="2" w:space="0" w:color="DDDDDD"/>
            </w:tcBorders>
            <w:shd w:val="clear" w:color="auto" w:fill="EEEEEE"/>
          </w:tcPr>
          <w:p w14:paraId="1F7A80F5" w14:textId="77777777" w:rsidR="00942CF4" w:rsidRPr="00942CF4" w:rsidRDefault="00942CF4" w:rsidP="00932352">
            <w:pPr>
              <w:pStyle w:val="TableContents"/>
              <w:rPr>
                <w:rFonts w:ascii="Times New Roman" w:hAnsi="Times New Roman" w:cs="Times New Roman"/>
                <w:sz w:val="21"/>
                <w:szCs w:val="21"/>
              </w:rPr>
            </w:pPr>
            <w:r w:rsidRPr="00942CF4">
              <w:rPr>
                <w:rFonts w:ascii="Times New Roman" w:hAnsi="Times New Roman" w:cs="Times New Roman"/>
                <w:sz w:val="21"/>
                <w:szCs w:val="21"/>
              </w:rPr>
              <w:t>Horizontal Integration and Business Structure</w:t>
            </w:r>
          </w:p>
        </w:tc>
        <w:tc>
          <w:tcPr>
            <w:tcW w:w="5244" w:type="dxa"/>
            <w:tcBorders>
              <w:left w:val="single" w:sz="2" w:space="0" w:color="DDDDDD"/>
              <w:bottom w:val="single" w:sz="2" w:space="0" w:color="DDDDDD"/>
            </w:tcBorders>
            <w:shd w:val="clear" w:color="auto" w:fill="EEEEEE"/>
          </w:tcPr>
          <w:p w14:paraId="39B20202" w14:textId="77777777" w:rsidR="00942CF4" w:rsidRPr="00942CF4" w:rsidRDefault="00942CF4" w:rsidP="00932352">
            <w:pPr>
              <w:pStyle w:val="TableContents"/>
              <w:rPr>
                <w:rFonts w:ascii="Times New Roman" w:hAnsi="Times New Roman" w:cs="Times New Roman"/>
                <w:sz w:val="21"/>
                <w:szCs w:val="21"/>
              </w:rPr>
            </w:pPr>
            <w:r w:rsidRPr="00942CF4">
              <w:rPr>
                <w:rFonts w:ascii="Times New Roman" w:hAnsi="Times New Roman" w:cs="Times New Roman"/>
                <w:sz w:val="21"/>
                <w:szCs w:val="21"/>
              </w:rPr>
              <w:t>Comments referring to the internal business structure of the Big Four firms.</w:t>
            </w:r>
          </w:p>
        </w:tc>
        <w:tc>
          <w:tcPr>
            <w:tcW w:w="993" w:type="dxa"/>
            <w:tcBorders>
              <w:left w:val="single" w:sz="2" w:space="0" w:color="DDDDDD"/>
              <w:bottom w:val="single" w:sz="2" w:space="0" w:color="DDDDDD"/>
            </w:tcBorders>
            <w:shd w:val="clear" w:color="auto" w:fill="EEEEEE"/>
          </w:tcPr>
          <w:p w14:paraId="7D03D9BE" w14:textId="77777777" w:rsidR="00942CF4" w:rsidRPr="00942CF4" w:rsidRDefault="00942CF4" w:rsidP="00932352">
            <w:pPr>
              <w:pStyle w:val="TableContents"/>
              <w:jc w:val="right"/>
              <w:rPr>
                <w:rFonts w:ascii="Times New Roman" w:hAnsi="Times New Roman" w:cs="Times New Roman"/>
                <w:sz w:val="21"/>
                <w:szCs w:val="21"/>
              </w:rPr>
            </w:pPr>
            <w:r w:rsidRPr="00942CF4">
              <w:rPr>
                <w:rFonts w:ascii="Times New Roman" w:hAnsi="Times New Roman" w:cs="Times New Roman"/>
                <w:sz w:val="21"/>
                <w:szCs w:val="21"/>
              </w:rPr>
              <w:t>8</w:t>
            </w:r>
          </w:p>
        </w:tc>
        <w:tc>
          <w:tcPr>
            <w:tcW w:w="1134" w:type="dxa"/>
            <w:tcBorders>
              <w:left w:val="single" w:sz="2" w:space="0" w:color="DDDDDD"/>
              <w:bottom w:val="single" w:sz="2" w:space="0" w:color="DDDDDD"/>
              <w:right w:val="single" w:sz="2" w:space="0" w:color="DDDDDD"/>
            </w:tcBorders>
            <w:shd w:val="clear" w:color="auto" w:fill="EEEEEE"/>
          </w:tcPr>
          <w:p w14:paraId="17C5581E" w14:textId="77777777" w:rsidR="00942CF4" w:rsidRPr="00942CF4" w:rsidRDefault="00942CF4" w:rsidP="00932352">
            <w:pPr>
              <w:pStyle w:val="TableContents"/>
              <w:jc w:val="right"/>
              <w:rPr>
                <w:rFonts w:ascii="Times New Roman" w:hAnsi="Times New Roman" w:cs="Times New Roman"/>
                <w:sz w:val="21"/>
                <w:szCs w:val="21"/>
              </w:rPr>
            </w:pPr>
            <w:r w:rsidRPr="00942CF4">
              <w:rPr>
                <w:rFonts w:ascii="Times New Roman" w:hAnsi="Times New Roman" w:cs="Times New Roman"/>
                <w:sz w:val="21"/>
                <w:szCs w:val="21"/>
              </w:rPr>
              <w:t>12</w:t>
            </w:r>
          </w:p>
        </w:tc>
      </w:tr>
      <w:tr w:rsidR="00942CF4" w:rsidRPr="00942CF4" w14:paraId="68E22334" w14:textId="77777777" w:rsidTr="00942CF4">
        <w:trPr>
          <w:trHeight w:val="715"/>
        </w:trPr>
        <w:tc>
          <w:tcPr>
            <w:tcW w:w="2124" w:type="dxa"/>
            <w:tcBorders>
              <w:left w:val="single" w:sz="2" w:space="0" w:color="DDDDDD"/>
              <w:bottom w:val="single" w:sz="2" w:space="0" w:color="DDDDDD"/>
            </w:tcBorders>
          </w:tcPr>
          <w:p w14:paraId="061743DB" w14:textId="77777777" w:rsidR="00942CF4" w:rsidRPr="00942CF4" w:rsidRDefault="00942CF4" w:rsidP="00932352">
            <w:pPr>
              <w:pStyle w:val="TableContents"/>
              <w:rPr>
                <w:rFonts w:ascii="Times New Roman" w:hAnsi="Times New Roman" w:cs="Times New Roman"/>
                <w:sz w:val="21"/>
                <w:szCs w:val="21"/>
              </w:rPr>
            </w:pPr>
            <w:r w:rsidRPr="00942CF4">
              <w:rPr>
                <w:rFonts w:ascii="Times New Roman" w:hAnsi="Times New Roman" w:cs="Times New Roman"/>
                <w:sz w:val="21"/>
                <w:szCs w:val="21"/>
              </w:rPr>
              <w:t>Scope of Services</w:t>
            </w:r>
          </w:p>
        </w:tc>
        <w:tc>
          <w:tcPr>
            <w:tcW w:w="5244" w:type="dxa"/>
            <w:tcBorders>
              <w:left w:val="single" w:sz="2" w:space="0" w:color="DDDDDD"/>
              <w:bottom w:val="single" w:sz="2" w:space="0" w:color="DDDDDD"/>
            </w:tcBorders>
          </w:tcPr>
          <w:p w14:paraId="4592D764" w14:textId="77777777" w:rsidR="00942CF4" w:rsidRPr="00942CF4" w:rsidRDefault="00942CF4" w:rsidP="00932352">
            <w:pPr>
              <w:pStyle w:val="TableContents"/>
              <w:rPr>
                <w:rFonts w:ascii="Times New Roman" w:hAnsi="Times New Roman" w:cs="Times New Roman"/>
                <w:sz w:val="21"/>
                <w:szCs w:val="21"/>
              </w:rPr>
            </w:pPr>
            <w:r w:rsidRPr="00942CF4">
              <w:rPr>
                <w:rFonts w:ascii="Times New Roman" w:hAnsi="Times New Roman" w:cs="Times New Roman"/>
                <w:sz w:val="21"/>
                <w:szCs w:val="21"/>
              </w:rPr>
              <w:t>Comments referring to the menu of services provided by the Big Four firms (economies of scale, scope and network).</w:t>
            </w:r>
          </w:p>
        </w:tc>
        <w:tc>
          <w:tcPr>
            <w:tcW w:w="993" w:type="dxa"/>
            <w:tcBorders>
              <w:left w:val="single" w:sz="2" w:space="0" w:color="DDDDDD"/>
              <w:bottom w:val="single" w:sz="2" w:space="0" w:color="DDDDDD"/>
            </w:tcBorders>
          </w:tcPr>
          <w:p w14:paraId="2D5DDEF6" w14:textId="77777777" w:rsidR="00942CF4" w:rsidRPr="00942CF4" w:rsidRDefault="00942CF4" w:rsidP="00932352">
            <w:pPr>
              <w:pStyle w:val="TableContents"/>
              <w:jc w:val="right"/>
              <w:rPr>
                <w:rFonts w:ascii="Times New Roman" w:hAnsi="Times New Roman" w:cs="Times New Roman"/>
                <w:sz w:val="21"/>
                <w:szCs w:val="21"/>
              </w:rPr>
            </w:pPr>
            <w:r w:rsidRPr="00942CF4">
              <w:rPr>
                <w:rFonts w:ascii="Times New Roman" w:hAnsi="Times New Roman" w:cs="Times New Roman"/>
                <w:sz w:val="21"/>
                <w:szCs w:val="21"/>
              </w:rPr>
              <w:t>11</w:t>
            </w:r>
          </w:p>
        </w:tc>
        <w:tc>
          <w:tcPr>
            <w:tcW w:w="1134" w:type="dxa"/>
            <w:tcBorders>
              <w:left w:val="single" w:sz="2" w:space="0" w:color="DDDDDD"/>
              <w:bottom w:val="single" w:sz="2" w:space="0" w:color="DDDDDD"/>
              <w:right w:val="single" w:sz="2" w:space="0" w:color="DDDDDD"/>
            </w:tcBorders>
          </w:tcPr>
          <w:p w14:paraId="053F4FB9" w14:textId="77777777" w:rsidR="00942CF4" w:rsidRPr="00942CF4" w:rsidRDefault="00942CF4" w:rsidP="00932352">
            <w:pPr>
              <w:pStyle w:val="TableContents"/>
              <w:jc w:val="right"/>
              <w:rPr>
                <w:rFonts w:ascii="Times New Roman" w:hAnsi="Times New Roman" w:cs="Times New Roman"/>
                <w:sz w:val="21"/>
                <w:szCs w:val="21"/>
              </w:rPr>
            </w:pPr>
            <w:r w:rsidRPr="00942CF4">
              <w:rPr>
                <w:rFonts w:ascii="Times New Roman" w:hAnsi="Times New Roman" w:cs="Times New Roman"/>
                <w:sz w:val="21"/>
                <w:szCs w:val="21"/>
              </w:rPr>
              <w:t>21</w:t>
            </w:r>
          </w:p>
        </w:tc>
      </w:tr>
      <w:tr w:rsidR="00942CF4" w:rsidRPr="00942CF4" w14:paraId="48B2F691" w14:textId="77777777" w:rsidTr="00942CF4">
        <w:trPr>
          <w:trHeight w:val="490"/>
        </w:trPr>
        <w:tc>
          <w:tcPr>
            <w:tcW w:w="2124" w:type="dxa"/>
            <w:tcBorders>
              <w:left w:val="single" w:sz="2" w:space="0" w:color="DDDDDD"/>
              <w:bottom w:val="single" w:sz="2" w:space="0" w:color="DDDDDD"/>
            </w:tcBorders>
            <w:shd w:val="clear" w:color="auto" w:fill="EEEEEE"/>
          </w:tcPr>
          <w:p w14:paraId="466D682B" w14:textId="77777777" w:rsidR="00942CF4" w:rsidRPr="00942CF4" w:rsidRDefault="00942CF4" w:rsidP="00932352">
            <w:pPr>
              <w:pStyle w:val="TableContents"/>
              <w:rPr>
                <w:rFonts w:ascii="Times New Roman" w:hAnsi="Times New Roman" w:cs="Times New Roman"/>
                <w:sz w:val="21"/>
                <w:szCs w:val="21"/>
              </w:rPr>
            </w:pPr>
            <w:r w:rsidRPr="00942CF4">
              <w:rPr>
                <w:rFonts w:ascii="Times New Roman" w:hAnsi="Times New Roman" w:cs="Times New Roman"/>
                <w:sz w:val="21"/>
                <w:szCs w:val="21"/>
              </w:rPr>
              <w:t>SME and Startups</w:t>
            </w:r>
          </w:p>
        </w:tc>
        <w:tc>
          <w:tcPr>
            <w:tcW w:w="5244" w:type="dxa"/>
            <w:tcBorders>
              <w:left w:val="single" w:sz="2" w:space="0" w:color="DDDDDD"/>
              <w:bottom w:val="single" w:sz="2" w:space="0" w:color="DDDDDD"/>
            </w:tcBorders>
            <w:shd w:val="clear" w:color="auto" w:fill="EEEEEE"/>
          </w:tcPr>
          <w:p w14:paraId="6E421123" w14:textId="77777777" w:rsidR="00942CF4" w:rsidRPr="00942CF4" w:rsidRDefault="00942CF4" w:rsidP="00932352">
            <w:pPr>
              <w:pStyle w:val="TableContents"/>
              <w:rPr>
                <w:rFonts w:ascii="Times New Roman" w:hAnsi="Times New Roman" w:cs="Times New Roman"/>
                <w:sz w:val="21"/>
                <w:szCs w:val="21"/>
              </w:rPr>
            </w:pPr>
            <w:r w:rsidRPr="00942CF4">
              <w:rPr>
                <w:rFonts w:ascii="Times New Roman" w:hAnsi="Times New Roman" w:cs="Times New Roman"/>
                <w:sz w:val="21"/>
                <w:szCs w:val="21"/>
              </w:rPr>
              <w:t>Comments referring to small and medium enterprises and startups.</w:t>
            </w:r>
          </w:p>
        </w:tc>
        <w:tc>
          <w:tcPr>
            <w:tcW w:w="993" w:type="dxa"/>
            <w:tcBorders>
              <w:left w:val="single" w:sz="2" w:space="0" w:color="DDDDDD"/>
              <w:bottom w:val="single" w:sz="2" w:space="0" w:color="DDDDDD"/>
            </w:tcBorders>
            <w:shd w:val="clear" w:color="auto" w:fill="EEEEEE"/>
          </w:tcPr>
          <w:p w14:paraId="77984B8C" w14:textId="77777777" w:rsidR="00942CF4" w:rsidRPr="00942CF4" w:rsidRDefault="00942CF4" w:rsidP="00932352">
            <w:pPr>
              <w:pStyle w:val="TableContents"/>
              <w:jc w:val="right"/>
              <w:rPr>
                <w:rFonts w:ascii="Times New Roman" w:hAnsi="Times New Roman" w:cs="Times New Roman"/>
                <w:sz w:val="21"/>
                <w:szCs w:val="21"/>
              </w:rPr>
            </w:pPr>
            <w:r w:rsidRPr="00942CF4">
              <w:rPr>
                <w:rFonts w:ascii="Times New Roman" w:hAnsi="Times New Roman" w:cs="Times New Roman"/>
                <w:sz w:val="21"/>
                <w:szCs w:val="21"/>
              </w:rPr>
              <w:t>3</w:t>
            </w:r>
          </w:p>
        </w:tc>
        <w:tc>
          <w:tcPr>
            <w:tcW w:w="1134" w:type="dxa"/>
            <w:tcBorders>
              <w:left w:val="single" w:sz="2" w:space="0" w:color="DDDDDD"/>
              <w:bottom w:val="single" w:sz="2" w:space="0" w:color="DDDDDD"/>
              <w:right w:val="single" w:sz="2" w:space="0" w:color="DDDDDD"/>
            </w:tcBorders>
            <w:shd w:val="clear" w:color="auto" w:fill="EEEEEE"/>
          </w:tcPr>
          <w:p w14:paraId="28971FFD" w14:textId="77777777" w:rsidR="00942CF4" w:rsidRPr="00942CF4" w:rsidRDefault="00942CF4" w:rsidP="00932352">
            <w:pPr>
              <w:pStyle w:val="TableContents"/>
              <w:jc w:val="right"/>
              <w:rPr>
                <w:rFonts w:ascii="Times New Roman" w:hAnsi="Times New Roman" w:cs="Times New Roman"/>
                <w:sz w:val="21"/>
                <w:szCs w:val="21"/>
              </w:rPr>
            </w:pPr>
            <w:r w:rsidRPr="00942CF4">
              <w:rPr>
                <w:rFonts w:ascii="Times New Roman" w:hAnsi="Times New Roman" w:cs="Times New Roman"/>
                <w:sz w:val="21"/>
                <w:szCs w:val="21"/>
              </w:rPr>
              <w:t>5</w:t>
            </w:r>
          </w:p>
        </w:tc>
      </w:tr>
    </w:tbl>
    <w:p w14:paraId="339C6561" w14:textId="77777777" w:rsidR="00942CF4" w:rsidRDefault="00942CF4" w:rsidP="006D65C5">
      <w:pPr>
        <w:pStyle w:val="ListParagraph"/>
        <w:ind w:left="0"/>
        <w:jc w:val="both"/>
        <w:rPr>
          <w:color w:val="000000" w:themeColor="text1"/>
        </w:rPr>
      </w:pPr>
    </w:p>
    <w:p w14:paraId="0AB28F07" w14:textId="77777777" w:rsidR="00942CF4" w:rsidRPr="00942CF4" w:rsidRDefault="00942CF4" w:rsidP="006D65C5">
      <w:pPr>
        <w:pStyle w:val="ListParagraph"/>
        <w:ind w:left="0"/>
        <w:jc w:val="both"/>
        <w:rPr>
          <w:color w:val="000000" w:themeColor="text1"/>
        </w:rPr>
      </w:pPr>
    </w:p>
    <w:p w14:paraId="1E57C3D1" w14:textId="21D61DA1" w:rsidR="00942CF4" w:rsidRPr="00E10813" w:rsidRDefault="00942CF4" w:rsidP="00942CF4">
      <w:pPr>
        <w:pStyle w:val="ListParagraph"/>
        <w:ind w:left="0"/>
        <w:jc w:val="both"/>
        <w:rPr>
          <w:b/>
          <w:bCs/>
          <w:color w:val="000000" w:themeColor="text1"/>
        </w:rPr>
      </w:pPr>
      <w:r w:rsidRPr="00E10813">
        <w:rPr>
          <w:b/>
          <w:bCs/>
          <w:color w:val="000000" w:themeColor="text1"/>
        </w:rPr>
        <w:t xml:space="preserve">Section </w:t>
      </w:r>
      <w:r>
        <w:rPr>
          <w:b/>
          <w:bCs/>
          <w:color w:val="000000" w:themeColor="text1"/>
        </w:rPr>
        <w:t>D</w:t>
      </w:r>
    </w:p>
    <w:p w14:paraId="19F444D0" w14:textId="77777777" w:rsidR="006D65C5" w:rsidRDefault="006D65C5" w:rsidP="006D65C5">
      <w:pPr>
        <w:pStyle w:val="ListParagraph"/>
        <w:ind w:left="0"/>
        <w:jc w:val="both"/>
        <w:rPr>
          <w:color w:val="000000" w:themeColor="text1"/>
        </w:rPr>
      </w:pPr>
    </w:p>
    <w:p w14:paraId="4B00A8EB" w14:textId="2FC50367" w:rsidR="006D65C5" w:rsidRDefault="006D65C5" w:rsidP="006D65C5">
      <w:pPr>
        <w:pStyle w:val="ListParagraph"/>
        <w:ind w:left="0"/>
        <w:jc w:val="both"/>
        <w:rPr>
          <w:color w:val="000000" w:themeColor="text1"/>
        </w:rPr>
      </w:pPr>
      <w:r>
        <w:rPr>
          <w:color w:val="000000" w:themeColor="text1"/>
        </w:rPr>
        <w:t>The quantitative data used in this paper were manually collected by the authors from the respective corporate websites, as well as from selected global annual reports and company press releases. The list of those sources is the following:</w:t>
      </w:r>
    </w:p>
    <w:p w14:paraId="34205AF0" w14:textId="584D7ED4" w:rsidR="00F74D6C" w:rsidRDefault="00F74D6C" w:rsidP="006D65C5">
      <w:pPr>
        <w:pStyle w:val="ListParagraph"/>
        <w:ind w:left="0"/>
        <w:jc w:val="both"/>
        <w:rPr>
          <w:color w:val="000000" w:themeColor="text1"/>
        </w:rPr>
      </w:pPr>
    </w:p>
    <w:p w14:paraId="4CE12A7E" w14:textId="6224D206" w:rsidR="006D65C5" w:rsidRPr="00F74D6C" w:rsidRDefault="006D65C5" w:rsidP="006D65C5">
      <w:pPr>
        <w:pStyle w:val="NormalWeb"/>
        <w:spacing w:before="0" w:beforeAutospacing="0" w:after="0" w:afterAutospacing="0"/>
        <w:jc w:val="both"/>
        <w:rPr>
          <w:color w:val="000000" w:themeColor="text1"/>
        </w:rPr>
      </w:pPr>
    </w:p>
    <w:tbl>
      <w:tblPr>
        <w:tblW w:w="9020" w:type="dxa"/>
        <w:tblLook w:val="04A0" w:firstRow="1" w:lastRow="0" w:firstColumn="1" w:lastColumn="0" w:noHBand="0" w:noVBand="1"/>
      </w:tblPr>
      <w:tblGrid>
        <w:gridCol w:w="9020"/>
      </w:tblGrid>
      <w:tr w:rsidR="00F74D6C" w:rsidRPr="00711EE5" w14:paraId="3DAC2758" w14:textId="77777777" w:rsidTr="00136DBB">
        <w:trPr>
          <w:trHeight w:val="249"/>
        </w:trPr>
        <w:tc>
          <w:tcPr>
            <w:tcW w:w="9020" w:type="dxa"/>
            <w:tcBorders>
              <w:top w:val="nil"/>
              <w:left w:val="nil"/>
              <w:bottom w:val="single" w:sz="4" w:space="0" w:color="auto"/>
              <w:right w:val="nil"/>
            </w:tcBorders>
            <w:shd w:val="clear" w:color="auto" w:fill="auto"/>
            <w:vAlign w:val="center"/>
          </w:tcPr>
          <w:p w14:paraId="69A6C3A3" w14:textId="77777777" w:rsidR="00F74D6C" w:rsidRPr="00711EE5" w:rsidRDefault="00F74D6C" w:rsidP="00DB2A48">
            <w:pPr>
              <w:jc w:val="left"/>
              <w:rPr>
                <w:color w:val="000000"/>
                <w:sz w:val="21"/>
                <w:szCs w:val="21"/>
              </w:rPr>
            </w:pPr>
            <w:r>
              <w:rPr>
                <w:color w:val="000000"/>
                <w:sz w:val="21"/>
                <w:szCs w:val="21"/>
              </w:rPr>
              <w:t>Big Four Firms Annual Reports</w:t>
            </w:r>
          </w:p>
        </w:tc>
      </w:tr>
      <w:tr w:rsidR="00F74D6C" w14:paraId="70B5C64E" w14:textId="77777777" w:rsidTr="00136DBB">
        <w:trPr>
          <w:trHeight w:val="249"/>
        </w:trPr>
        <w:tc>
          <w:tcPr>
            <w:tcW w:w="9020" w:type="dxa"/>
            <w:tcBorders>
              <w:top w:val="single" w:sz="4" w:space="0" w:color="auto"/>
              <w:left w:val="nil"/>
              <w:bottom w:val="nil"/>
              <w:right w:val="nil"/>
            </w:tcBorders>
            <w:shd w:val="clear" w:color="auto" w:fill="auto"/>
            <w:vAlign w:val="center"/>
          </w:tcPr>
          <w:p w14:paraId="106E40B9" w14:textId="0EEA84AE" w:rsidR="00934217" w:rsidRDefault="00934217" w:rsidP="00DB2A48">
            <w:pPr>
              <w:jc w:val="left"/>
              <w:rPr>
                <w:color w:val="000000"/>
                <w:sz w:val="21"/>
                <w:szCs w:val="21"/>
              </w:rPr>
            </w:pPr>
          </w:p>
        </w:tc>
      </w:tr>
      <w:tr w:rsidR="00F74D6C" w:rsidRPr="00F017C3" w14:paraId="3862F540" w14:textId="77777777" w:rsidTr="00136DBB">
        <w:trPr>
          <w:trHeight w:val="249"/>
        </w:trPr>
        <w:tc>
          <w:tcPr>
            <w:tcW w:w="9020" w:type="dxa"/>
            <w:tcBorders>
              <w:top w:val="nil"/>
              <w:left w:val="nil"/>
              <w:bottom w:val="nil"/>
              <w:right w:val="nil"/>
            </w:tcBorders>
            <w:shd w:val="clear" w:color="auto" w:fill="auto"/>
            <w:vAlign w:val="center"/>
          </w:tcPr>
          <w:p w14:paraId="36F3E1AC" w14:textId="77777777" w:rsidR="00136DBB" w:rsidRPr="00934217" w:rsidRDefault="00136DBB" w:rsidP="00934217">
            <w:pPr>
              <w:pStyle w:val="ListParagraph"/>
              <w:numPr>
                <w:ilvl w:val="0"/>
                <w:numId w:val="35"/>
              </w:numPr>
              <w:rPr>
                <w:sz w:val="21"/>
                <w:szCs w:val="21"/>
              </w:rPr>
            </w:pPr>
            <w:r w:rsidRPr="00934217">
              <w:rPr>
                <w:sz w:val="21"/>
                <w:szCs w:val="21"/>
              </w:rPr>
              <w:t xml:space="preserve">Deloitte. (2005). </w:t>
            </w:r>
            <w:r w:rsidRPr="00934217">
              <w:rPr>
                <w:i/>
                <w:iCs/>
                <w:sz w:val="21"/>
                <w:szCs w:val="21"/>
              </w:rPr>
              <w:t>Deloitte reports 12th consecutive year of revenue growth for member firms and announces new vision and strategic focus</w:t>
            </w:r>
            <w:r w:rsidRPr="00934217">
              <w:rPr>
                <w:sz w:val="21"/>
                <w:szCs w:val="21"/>
              </w:rPr>
              <w:t xml:space="preserve">. Deloitte. </w:t>
            </w:r>
            <w:hyperlink r:id="rId7" w:history="1">
              <w:r w:rsidRPr="00934217">
                <w:rPr>
                  <w:rStyle w:val="Hyperlink"/>
                  <w:sz w:val="21"/>
                  <w:szCs w:val="21"/>
                </w:rPr>
                <w:t>https://www.webwire.com/ViewPressRel_print.asp?aId=7101</w:t>
              </w:r>
            </w:hyperlink>
          </w:p>
          <w:p w14:paraId="4525602C" w14:textId="77777777" w:rsidR="00136DBB" w:rsidRPr="00934217" w:rsidRDefault="00136DBB" w:rsidP="00934217">
            <w:pPr>
              <w:pStyle w:val="ListParagraph"/>
              <w:numPr>
                <w:ilvl w:val="0"/>
                <w:numId w:val="35"/>
              </w:numPr>
              <w:rPr>
                <w:sz w:val="21"/>
                <w:szCs w:val="21"/>
              </w:rPr>
            </w:pPr>
            <w:r w:rsidRPr="00934217">
              <w:rPr>
                <w:sz w:val="21"/>
                <w:szCs w:val="21"/>
              </w:rPr>
              <w:t xml:space="preserve">Deloitte. (2007). </w:t>
            </w:r>
            <w:r w:rsidRPr="00934217">
              <w:rPr>
                <w:i/>
                <w:iCs/>
                <w:sz w:val="21"/>
                <w:szCs w:val="21"/>
              </w:rPr>
              <w:t>Deloitte Touche Tohmatsu Worldwide Member Firms 2007 Review</w:t>
            </w:r>
            <w:r w:rsidRPr="00934217">
              <w:rPr>
                <w:sz w:val="21"/>
                <w:szCs w:val="21"/>
              </w:rPr>
              <w:t>. https://www.iasplus.com/en/binary/resource/07deloitteannualreview.pdf</w:t>
            </w:r>
          </w:p>
          <w:p w14:paraId="45E745E9" w14:textId="77777777" w:rsidR="00136DBB" w:rsidRPr="00934217" w:rsidRDefault="00136DBB" w:rsidP="00934217">
            <w:pPr>
              <w:pStyle w:val="ListParagraph"/>
              <w:numPr>
                <w:ilvl w:val="0"/>
                <w:numId w:val="35"/>
              </w:numPr>
              <w:rPr>
                <w:sz w:val="21"/>
                <w:szCs w:val="21"/>
              </w:rPr>
            </w:pPr>
            <w:r w:rsidRPr="00934217">
              <w:rPr>
                <w:sz w:val="21"/>
                <w:szCs w:val="21"/>
              </w:rPr>
              <w:t xml:space="preserve">Deloitte. (2009). </w:t>
            </w:r>
            <w:r w:rsidRPr="00934217">
              <w:rPr>
                <w:i/>
                <w:iCs/>
                <w:sz w:val="21"/>
                <w:szCs w:val="21"/>
              </w:rPr>
              <w:t>2009 Deloitte Touche Tohmatsu Corporate Responsibility Report</w:t>
            </w:r>
            <w:r w:rsidRPr="00934217">
              <w:rPr>
                <w:sz w:val="21"/>
                <w:szCs w:val="21"/>
              </w:rPr>
              <w:t>. https://ungc-pråoduction.s3.us-west-2.amazonaws.com/attachments/819/original/COP.pdf?1262614223</w:t>
            </w:r>
          </w:p>
          <w:p w14:paraId="5471D1E3" w14:textId="77777777" w:rsidR="00136DBB" w:rsidRPr="00934217" w:rsidRDefault="00136DBB" w:rsidP="00934217">
            <w:pPr>
              <w:pStyle w:val="ListParagraph"/>
              <w:numPr>
                <w:ilvl w:val="0"/>
                <w:numId w:val="35"/>
              </w:numPr>
              <w:rPr>
                <w:sz w:val="21"/>
                <w:szCs w:val="21"/>
              </w:rPr>
            </w:pPr>
            <w:r w:rsidRPr="00934217">
              <w:rPr>
                <w:sz w:val="21"/>
                <w:szCs w:val="21"/>
              </w:rPr>
              <w:t xml:space="preserve">Deloitte. (2010). </w:t>
            </w:r>
            <w:r w:rsidRPr="00934217">
              <w:rPr>
                <w:i/>
                <w:iCs/>
                <w:sz w:val="21"/>
                <w:szCs w:val="21"/>
              </w:rPr>
              <w:t>Deloitte 2010 Corporate Responsibility Report: Vision, Values, Responsibility</w:t>
            </w:r>
            <w:r w:rsidRPr="00934217">
              <w:rPr>
                <w:sz w:val="21"/>
                <w:szCs w:val="21"/>
              </w:rPr>
              <w:t>. https://www2.deloitte.com/content/dam/Deloitte/global/Documents/About-Deloitte/gx-deloitte-2010-gir-cr-</w:t>
            </w:r>
          </w:p>
          <w:p w14:paraId="2D8DCDEE" w14:textId="77777777" w:rsidR="00136DBB" w:rsidRPr="00934217" w:rsidRDefault="00136DBB" w:rsidP="00934217">
            <w:pPr>
              <w:pStyle w:val="ListParagraph"/>
              <w:numPr>
                <w:ilvl w:val="0"/>
                <w:numId w:val="35"/>
              </w:numPr>
              <w:rPr>
                <w:sz w:val="21"/>
                <w:szCs w:val="21"/>
              </w:rPr>
            </w:pPr>
            <w:r w:rsidRPr="00934217">
              <w:rPr>
                <w:sz w:val="21"/>
                <w:szCs w:val="21"/>
              </w:rPr>
              <w:t xml:space="preserve">Deloitte. (2011). </w:t>
            </w:r>
            <w:r w:rsidRPr="00934217">
              <w:rPr>
                <w:i/>
                <w:iCs/>
                <w:sz w:val="21"/>
                <w:szCs w:val="21"/>
              </w:rPr>
              <w:t>Deloitte 2011 Annual Review: A Borderless Network</w:t>
            </w:r>
            <w:r w:rsidRPr="00934217">
              <w:rPr>
                <w:sz w:val="21"/>
                <w:szCs w:val="21"/>
              </w:rPr>
              <w:t xml:space="preserve">. </w:t>
            </w:r>
            <w:hyperlink r:id="rId8" w:history="1">
              <w:r w:rsidRPr="00934217">
                <w:rPr>
                  <w:rStyle w:val="Hyperlink"/>
                  <w:sz w:val="21"/>
                  <w:szCs w:val="21"/>
                </w:rPr>
                <w:t>https://www2.deloitte.com/content/dam/Deloitte/global/Documents/About-Deloitte/gx-deloitte-2011-gir-annual-report.pdf</w:t>
              </w:r>
            </w:hyperlink>
          </w:p>
          <w:p w14:paraId="3421DC7B" w14:textId="77777777" w:rsidR="00136DBB" w:rsidRPr="00934217" w:rsidRDefault="00136DBB" w:rsidP="00934217">
            <w:pPr>
              <w:pStyle w:val="ListParagraph"/>
              <w:numPr>
                <w:ilvl w:val="0"/>
                <w:numId w:val="35"/>
              </w:numPr>
              <w:rPr>
                <w:sz w:val="21"/>
                <w:szCs w:val="21"/>
              </w:rPr>
            </w:pPr>
            <w:r w:rsidRPr="00934217">
              <w:rPr>
                <w:color w:val="000000" w:themeColor="text1"/>
                <w:sz w:val="21"/>
                <w:szCs w:val="21"/>
              </w:rPr>
              <w:lastRenderedPageBreak/>
              <w:t>Deloitte. (2012). 2012 Global Report. https://www.iasplus.com/en/publications/sustainability/2013/deloitte-2012-global-report/at_download/file/DTTL_2012GlobalReport.pdf</w:t>
            </w:r>
          </w:p>
          <w:p w14:paraId="12143D4B" w14:textId="77777777" w:rsidR="00136DBB" w:rsidRPr="00934217" w:rsidRDefault="00136DBB" w:rsidP="00934217">
            <w:pPr>
              <w:pStyle w:val="ListParagraph"/>
              <w:numPr>
                <w:ilvl w:val="0"/>
                <w:numId w:val="35"/>
              </w:numPr>
              <w:rPr>
                <w:sz w:val="21"/>
                <w:szCs w:val="21"/>
                <w:lang w:val="fr-FR"/>
              </w:rPr>
            </w:pPr>
            <w:r w:rsidRPr="00934217">
              <w:rPr>
                <w:color w:val="000000" w:themeColor="text1"/>
                <w:sz w:val="21"/>
                <w:szCs w:val="21"/>
                <w:lang w:val="fr-FR"/>
              </w:rPr>
              <w:t xml:space="preserve">Deloitte. (2013). 2013 Global Impact Report. Deloitte Touche </w:t>
            </w:r>
            <w:proofErr w:type="spellStart"/>
            <w:r w:rsidRPr="00934217">
              <w:rPr>
                <w:color w:val="000000" w:themeColor="text1"/>
                <w:sz w:val="21"/>
                <w:szCs w:val="21"/>
                <w:lang w:val="fr-FR"/>
              </w:rPr>
              <w:t>Tohmatsu</w:t>
            </w:r>
            <w:proofErr w:type="spellEnd"/>
            <w:r w:rsidRPr="00934217">
              <w:rPr>
                <w:color w:val="000000" w:themeColor="text1"/>
                <w:sz w:val="21"/>
                <w:szCs w:val="21"/>
                <w:lang w:val="fr-FR"/>
              </w:rPr>
              <w:t xml:space="preserve"> Limited. </w:t>
            </w:r>
            <w:hyperlink r:id="rId9" w:history="1">
              <w:r w:rsidRPr="00934217">
                <w:rPr>
                  <w:rStyle w:val="Hyperlink"/>
                  <w:sz w:val="21"/>
                  <w:szCs w:val="21"/>
                  <w:lang w:val="fr-FR"/>
                </w:rPr>
                <w:t>https://www2.deloitte.com/content/dam/Deloitte/global/Documents/About-Deloitte/gx-gr13-main-report.pdf</w:t>
              </w:r>
            </w:hyperlink>
            <w:r w:rsidRPr="00934217">
              <w:rPr>
                <w:color w:val="000000" w:themeColor="text1"/>
                <w:sz w:val="21"/>
                <w:szCs w:val="21"/>
                <w:lang w:val="fr-FR"/>
              </w:rPr>
              <w:t xml:space="preserve"> </w:t>
            </w:r>
          </w:p>
          <w:p w14:paraId="2D801B39" w14:textId="77777777" w:rsidR="00136DBB" w:rsidRPr="00934217" w:rsidRDefault="00136DBB" w:rsidP="00934217">
            <w:pPr>
              <w:pStyle w:val="ListParagraph"/>
              <w:numPr>
                <w:ilvl w:val="0"/>
                <w:numId w:val="35"/>
              </w:numPr>
              <w:rPr>
                <w:sz w:val="21"/>
                <w:szCs w:val="21"/>
              </w:rPr>
            </w:pPr>
            <w:r w:rsidRPr="00934217">
              <w:rPr>
                <w:sz w:val="21"/>
                <w:szCs w:val="21"/>
              </w:rPr>
              <w:t xml:space="preserve">Deloitte. (2014). </w:t>
            </w:r>
            <w:r w:rsidRPr="00934217">
              <w:rPr>
                <w:i/>
                <w:iCs/>
                <w:sz w:val="21"/>
                <w:szCs w:val="21"/>
              </w:rPr>
              <w:t>2014 Global Report: Making an impact that matters</w:t>
            </w:r>
            <w:r w:rsidRPr="00934217">
              <w:rPr>
                <w:sz w:val="21"/>
                <w:szCs w:val="21"/>
              </w:rPr>
              <w:t>. https://www2.deloitte.com/ru/en/pages/corporate-responsibility/articles/2014-global-report-home.html#</w:t>
            </w:r>
          </w:p>
          <w:p w14:paraId="26A11D4B" w14:textId="77777777" w:rsidR="00136DBB" w:rsidRPr="00934217" w:rsidRDefault="00136DBB" w:rsidP="00934217">
            <w:pPr>
              <w:pStyle w:val="ListParagraph"/>
              <w:numPr>
                <w:ilvl w:val="0"/>
                <w:numId w:val="35"/>
              </w:numPr>
              <w:rPr>
                <w:sz w:val="21"/>
                <w:szCs w:val="21"/>
              </w:rPr>
            </w:pPr>
            <w:r w:rsidRPr="00934217">
              <w:rPr>
                <w:sz w:val="21"/>
                <w:szCs w:val="21"/>
              </w:rPr>
              <w:t xml:space="preserve">Deloitte. (2015). </w:t>
            </w:r>
            <w:r w:rsidRPr="00934217">
              <w:rPr>
                <w:i/>
                <w:iCs/>
                <w:sz w:val="21"/>
                <w:szCs w:val="21"/>
              </w:rPr>
              <w:t>2015 Global Report: Making an impact that matters</w:t>
            </w:r>
            <w:r w:rsidRPr="00934217">
              <w:rPr>
                <w:sz w:val="21"/>
                <w:szCs w:val="21"/>
              </w:rPr>
              <w:t>. https://www2.deloitte.com/content/dam/Deloitte/global/Documents/About-Deloitte/gx-gr15-main-final.pdf</w:t>
            </w:r>
          </w:p>
          <w:p w14:paraId="0DED99F2" w14:textId="77777777" w:rsidR="00136DBB" w:rsidRPr="00934217" w:rsidRDefault="00136DBB" w:rsidP="00934217">
            <w:pPr>
              <w:pStyle w:val="ListParagraph"/>
              <w:numPr>
                <w:ilvl w:val="0"/>
                <w:numId w:val="35"/>
              </w:numPr>
              <w:rPr>
                <w:sz w:val="21"/>
                <w:szCs w:val="21"/>
              </w:rPr>
            </w:pPr>
            <w:r w:rsidRPr="00934217">
              <w:rPr>
                <w:sz w:val="21"/>
                <w:szCs w:val="21"/>
              </w:rPr>
              <w:t xml:space="preserve">Deloitte. (2016). </w:t>
            </w:r>
            <w:r w:rsidRPr="00934217">
              <w:rPr>
                <w:i/>
                <w:iCs/>
                <w:sz w:val="21"/>
                <w:szCs w:val="21"/>
              </w:rPr>
              <w:t>2016 Global Impact Report: The bigger the challenge, the bigger the opportunity</w:t>
            </w:r>
            <w:r w:rsidRPr="00934217">
              <w:rPr>
                <w:sz w:val="21"/>
                <w:szCs w:val="21"/>
              </w:rPr>
              <w:t>. https://www2.deloitte.com/content/dam/Deloitte/global/Documents/global-report/Deloitte-2016-Global-Im</w:t>
            </w:r>
          </w:p>
          <w:p w14:paraId="6F378844" w14:textId="77777777" w:rsidR="00136DBB" w:rsidRPr="00934217" w:rsidRDefault="00136DBB" w:rsidP="00934217">
            <w:pPr>
              <w:pStyle w:val="ListParagraph"/>
              <w:numPr>
                <w:ilvl w:val="0"/>
                <w:numId w:val="35"/>
              </w:numPr>
              <w:rPr>
                <w:sz w:val="21"/>
                <w:szCs w:val="21"/>
              </w:rPr>
            </w:pPr>
            <w:r w:rsidRPr="00934217">
              <w:rPr>
                <w:sz w:val="21"/>
                <w:szCs w:val="21"/>
              </w:rPr>
              <w:t xml:space="preserve">Deloitte. (2017). </w:t>
            </w:r>
            <w:r w:rsidRPr="00934217">
              <w:rPr>
                <w:i/>
                <w:iCs/>
                <w:sz w:val="21"/>
                <w:szCs w:val="21"/>
              </w:rPr>
              <w:t>2017 Global Impact Report: Are you ready for Industry 4.0?</w:t>
            </w:r>
            <w:r w:rsidRPr="00934217">
              <w:rPr>
                <w:sz w:val="21"/>
                <w:szCs w:val="21"/>
              </w:rPr>
              <w:t xml:space="preserve"> https://www2.deloitte.com/tr/en/pages/about-deloitte/articles/2017-global-impact-report.html</w:t>
            </w:r>
          </w:p>
          <w:p w14:paraId="103000C1" w14:textId="77777777" w:rsidR="0029063D" w:rsidRDefault="00136DBB" w:rsidP="0029063D">
            <w:pPr>
              <w:pStyle w:val="ListParagraph"/>
              <w:numPr>
                <w:ilvl w:val="0"/>
                <w:numId w:val="35"/>
              </w:numPr>
              <w:rPr>
                <w:sz w:val="21"/>
                <w:szCs w:val="21"/>
              </w:rPr>
            </w:pPr>
            <w:r w:rsidRPr="00934217">
              <w:rPr>
                <w:sz w:val="21"/>
                <w:szCs w:val="21"/>
              </w:rPr>
              <w:t xml:space="preserve">Deloitte. (2018). </w:t>
            </w:r>
            <w:r w:rsidRPr="00934217">
              <w:rPr>
                <w:i/>
                <w:iCs/>
                <w:sz w:val="21"/>
                <w:szCs w:val="21"/>
              </w:rPr>
              <w:t>2018 Global Impact Report: A new mindset for action</w:t>
            </w:r>
            <w:r w:rsidRPr="00934217">
              <w:rPr>
                <w:sz w:val="21"/>
                <w:szCs w:val="21"/>
              </w:rPr>
              <w:t xml:space="preserve">. </w:t>
            </w:r>
            <w:hyperlink r:id="rId10" w:history="1">
              <w:r w:rsidR="0029063D" w:rsidRPr="00C5205E">
                <w:rPr>
                  <w:rStyle w:val="Hyperlink"/>
                  <w:sz w:val="21"/>
                  <w:szCs w:val="21"/>
                </w:rPr>
                <w:t>https://www2.deloitte.com/content/dam/Deloitte/global/Documents/About-Deloitte/deloitte-2018-global-impact-report.pdf</w:t>
              </w:r>
            </w:hyperlink>
          </w:p>
          <w:p w14:paraId="57B60806" w14:textId="53884606" w:rsidR="0029063D" w:rsidRPr="0029063D" w:rsidRDefault="0029063D" w:rsidP="0029063D">
            <w:pPr>
              <w:pStyle w:val="ListParagraph"/>
              <w:numPr>
                <w:ilvl w:val="0"/>
                <w:numId w:val="35"/>
              </w:numPr>
              <w:rPr>
                <w:sz w:val="21"/>
                <w:szCs w:val="21"/>
              </w:rPr>
            </w:pPr>
            <w:r w:rsidRPr="0029063D">
              <w:rPr>
                <w:sz w:val="21"/>
                <w:szCs w:val="21"/>
              </w:rPr>
              <w:t>Deloitte. (2019). 2019 Global Impact Report. https://www2.deloitte.com/gr/en/pages/about-deloitte/articles/global-impact-report-2019.html</w:t>
            </w:r>
          </w:p>
          <w:p w14:paraId="2C92DB7B" w14:textId="77777777" w:rsidR="00136DBB" w:rsidRPr="00934217" w:rsidRDefault="00136DBB" w:rsidP="00934217">
            <w:pPr>
              <w:pStyle w:val="ListParagraph"/>
              <w:numPr>
                <w:ilvl w:val="0"/>
                <w:numId w:val="35"/>
              </w:numPr>
              <w:rPr>
                <w:sz w:val="21"/>
                <w:szCs w:val="21"/>
              </w:rPr>
            </w:pPr>
            <w:r w:rsidRPr="00934217">
              <w:rPr>
                <w:sz w:val="21"/>
                <w:szCs w:val="21"/>
              </w:rPr>
              <w:t xml:space="preserve">Deloitte. (2020). </w:t>
            </w:r>
            <w:r w:rsidRPr="00934217">
              <w:rPr>
                <w:i/>
                <w:iCs/>
                <w:sz w:val="21"/>
                <w:szCs w:val="21"/>
              </w:rPr>
              <w:t>2020 Global Impact Report: Repair and Reshape. Creating a Better Normal</w:t>
            </w:r>
            <w:r w:rsidRPr="00934217">
              <w:rPr>
                <w:sz w:val="21"/>
                <w:szCs w:val="21"/>
              </w:rPr>
              <w:t>. https://www2.deloitte.com/global/en/pages/about-deloitte/articles/global-report-home.html</w:t>
            </w:r>
          </w:p>
          <w:p w14:paraId="18FABE46" w14:textId="77777777" w:rsidR="00136DBB" w:rsidRPr="00934217" w:rsidRDefault="00136DBB" w:rsidP="00934217">
            <w:pPr>
              <w:pStyle w:val="ListParagraph"/>
              <w:numPr>
                <w:ilvl w:val="0"/>
                <w:numId w:val="35"/>
              </w:numPr>
              <w:rPr>
                <w:sz w:val="21"/>
                <w:szCs w:val="21"/>
              </w:rPr>
            </w:pPr>
            <w:r w:rsidRPr="00934217">
              <w:rPr>
                <w:sz w:val="21"/>
                <w:szCs w:val="21"/>
              </w:rPr>
              <w:t xml:space="preserve">Ernst &amp; Young. (2010). </w:t>
            </w:r>
            <w:r w:rsidRPr="00934217">
              <w:rPr>
                <w:i/>
                <w:iCs/>
                <w:sz w:val="21"/>
                <w:szCs w:val="21"/>
              </w:rPr>
              <w:t>Ernst &amp; Young Global review 2010</w:t>
            </w:r>
            <w:r w:rsidRPr="00934217">
              <w:rPr>
                <w:sz w:val="21"/>
                <w:szCs w:val="21"/>
              </w:rPr>
              <w:t xml:space="preserve">. </w:t>
            </w:r>
            <w:hyperlink r:id="rId11" w:history="1">
              <w:r w:rsidRPr="00934217">
                <w:rPr>
                  <w:rStyle w:val="Hyperlink"/>
                  <w:sz w:val="21"/>
                  <w:szCs w:val="21"/>
                </w:rPr>
                <w:t>http://fs.monadnockresearch.com/pubfiles/Ernst_Young_Global_Review_2010.pdf</w:t>
              </w:r>
            </w:hyperlink>
          </w:p>
          <w:p w14:paraId="66624CEF" w14:textId="77777777" w:rsidR="00136DBB" w:rsidRPr="00934217" w:rsidRDefault="00136DBB" w:rsidP="00934217">
            <w:pPr>
              <w:pStyle w:val="ListParagraph"/>
              <w:numPr>
                <w:ilvl w:val="0"/>
                <w:numId w:val="35"/>
              </w:numPr>
              <w:rPr>
                <w:sz w:val="21"/>
                <w:szCs w:val="21"/>
              </w:rPr>
            </w:pPr>
            <w:r w:rsidRPr="00934217">
              <w:rPr>
                <w:sz w:val="21"/>
                <w:szCs w:val="21"/>
              </w:rPr>
              <w:t>Ernst &amp; Young. (2013). EY Global Review 2013.</w:t>
            </w:r>
          </w:p>
          <w:p w14:paraId="642E4DEE" w14:textId="77777777" w:rsidR="00136DBB" w:rsidRPr="00934217" w:rsidRDefault="00136DBB" w:rsidP="00934217">
            <w:pPr>
              <w:pStyle w:val="ListParagraph"/>
              <w:numPr>
                <w:ilvl w:val="0"/>
                <w:numId w:val="35"/>
              </w:numPr>
              <w:rPr>
                <w:sz w:val="21"/>
                <w:szCs w:val="21"/>
              </w:rPr>
            </w:pPr>
            <w:r w:rsidRPr="00934217">
              <w:rPr>
                <w:sz w:val="21"/>
                <w:szCs w:val="21"/>
              </w:rPr>
              <w:t xml:space="preserve">Ernst &amp; Young. (2014). Global Review 2014. </w:t>
            </w:r>
            <w:hyperlink r:id="rId12" w:history="1">
              <w:r w:rsidRPr="00934217">
                <w:rPr>
                  <w:rStyle w:val="Hyperlink"/>
                  <w:sz w:val="21"/>
                  <w:szCs w:val="21"/>
                </w:rPr>
                <w:t>https://elischolar.library.yale.edu/cgi/viewcontent.cgi?article=1305&amp;context=ypfs-documents</w:t>
              </w:r>
            </w:hyperlink>
          </w:p>
          <w:p w14:paraId="5F708CE2" w14:textId="77777777" w:rsidR="00136DBB" w:rsidRPr="00934217" w:rsidRDefault="00136DBB" w:rsidP="00934217">
            <w:pPr>
              <w:pStyle w:val="ListParagraph"/>
              <w:numPr>
                <w:ilvl w:val="0"/>
                <w:numId w:val="35"/>
              </w:numPr>
              <w:rPr>
                <w:sz w:val="21"/>
                <w:szCs w:val="21"/>
              </w:rPr>
            </w:pPr>
            <w:r w:rsidRPr="00934217">
              <w:rPr>
                <w:sz w:val="21"/>
                <w:szCs w:val="21"/>
              </w:rPr>
              <w:t xml:space="preserve">Ernst &amp; Young. (2016). </w:t>
            </w:r>
            <w:r w:rsidRPr="00934217">
              <w:rPr>
                <w:i/>
                <w:iCs/>
                <w:sz w:val="21"/>
                <w:szCs w:val="21"/>
              </w:rPr>
              <w:t>EY reports record global revenues in 2016 – up by 9%</w:t>
            </w:r>
            <w:r w:rsidRPr="00934217">
              <w:rPr>
                <w:sz w:val="21"/>
                <w:szCs w:val="21"/>
              </w:rPr>
              <w:t xml:space="preserve"> (p. 7). Ernst &amp; Young Global Limited.</w:t>
            </w:r>
          </w:p>
          <w:p w14:paraId="7BD9A9BE" w14:textId="77777777" w:rsidR="00136DBB" w:rsidRPr="00934217" w:rsidRDefault="00136DBB" w:rsidP="00934217">
            <w:pPr>
              <w:pStyle w:val="ListParagraph"/>
              <w:numPr>
                <w:ilvl w:val="0"/>
                <w:numId w:val="35"/>
              </w:numPr>
              <w:rPr>
                <w:sz w:val="21"/>
                <w:szCs w:val="21"/>
              </w:rPr>
            </w:pPr>
            <w:r w:rsidRPr="00934217">
              <w:rPr>
                <w:sz w:val="21"/>
                <w:szCs w:val="21"/>
              </w:rPr>
              <w:t xml:space="preserve">Ernst &amp; Young. (2017). </w:t>
            </w:r>
            <w:r w:rsidRPr="00934217">
              <w:rPr>
                <w:i/>
                <w:iCs/>
                <w:sz w:val="21"/>
                <w:szCs w:val="21"/>
              </w:rPr>
              <w:t>Global Review 2017: Facts &amp; figures</w:t>
            </w:r>
            <w:r w:rsidRPr="00934217">
              <w:rPr>
                <w:sz w:val="21"/>
                <w:szCs w:val="21"/>
              </w:rPr>
              <w:t>. Ernst &amp; Young Global Limited. https://www.ey.com/en_si/global-review/2017/facts-figures</w:t>
            </w:r>
          </w:p>
          <w:p w14:paraId="6851D096" w14:textId="77777777" w:rsidR="00136DBB" w:rsidRPr="00934217" w:rsidRDefault="00136DBB" w:rsidP="00934217">
            <w:pPr>
              <w:pStyle w:val="ListParagraph"/>
              <w:numPr>
                <w:ilvl w:val="0"/>
                <w:numId w:val="35"/>
              </w:numPr>
              <w:rPr>
                <w:sz w:val="21"/>
                <w:szCs w:val="21"/>
              </w:rPr>
            </w:pPr>
            <w:r w:rsidRPr="00934217">
              <w:rPr>
                <w:sz w:val="21"/>
                <w:szCs w:val="21"/>
              </w:rPr>
              <w:t xml:space="preserve">Ernst &amp; Young. (2018). </w:t>
            </w:r>
            <w:r w:rsidRPr="00934217">
              <w:rPr>
                <w:i/>
                <w:iCs/>
                <w:sz w:val="21"/>
                <w:szCs w:val="21"/>
              </w:rPr>
              <w:t>Global review 2018: How do we create value and build trust in this transformative age?</w:t>
            </w:r>
            <w:r w:rsidRPr="00934217">
              <w:rPr>
                <w:sz w:val="21"/>
                <w:szCs w:val="21"/>
              </w:rPr>
              <w:t xml:space="preserve"> </w:t>
            </w:r>
            <w:hyperlink r:id="rId13" w:history="1">
              <w:r w:rsidRPr="00934217">
                <w:rPr>
                  <w:rStyle w:val="Hyperlink"/>
                  <w:sz w:val="21"/>
                  <w:szCs w:val="21"/>
                </w:rPr>
                <w:t>https://assets.ey.com/content/dam/ey-sites/ey-com/en_gl/topics/global-review/2018/ey_global_review_2018_v11_hr.pdf</w:t>
              </w:r>
            </w:hyperlink>
          </w:p>
          <w:p w14:paraId="25BC005B" w14:textId="77777777" w:rsidR="00136DBB" w:rsidRPr="00934217" w:rsidRDefault="00136DBB" w:rsidP="00934217">
            <w:pPr>
              <w:pStyle w:val="ListParagraph"/>
              <w:numPr>
                <w:ilvl w:val="0"/>
                <w:numId w:val="35"/>
              </w:numPr>
              <w:rPr>
                <w:sz w:val="21"/>
                <w:szCs w:val="21"/>
              </w:rPr>
            </w:pPr>
            <w:r w:rsidRPr="00934217">
              <w:rPr>
                <w:sz w:val="21"/>
                <w:szCs w:val="21"/>
              </w:rPr>
              <w:t>Ernst &amp; Young. (2019). EY 2019 Global Review. https://assets.ey.com/content/dam/ey-sites/ey-com/en_gl/topics/global-review/2019/ey-global-review-final-v13.pdf?download</w:t>
            </w:r>
          </w:p>
          <w:p w14:paraId="3866722F" w14:textId="77777777" w:rsidR="00136DBB" w:rsidRPr="00934217" w:rsidRDefault="00136DBB" w:rsidP="00934217">
            <w:pPr>
              <w:pStyle w:val="ListParagraph"/>
              <w:numPr>
                <w:ilvl w:val="0"/>
                <w:numId w:val="35"/>
              </w:numPr>
              <w:rPr>
                <w:sz w:val="21"/>
                <w:szCs w:val="21"/>
              </w:rPr>
            </w:pPr>
            <w:r w:rsidRPr="00934217">
              <w:rPr>
                <w:sz w:val="21"/>
                <w:szCs w:val="21"/>
              </w:rPr>
              <w:t xml:space="preserve">Ernst &amp; Young. (2020). </w:t>
            </w:r>
            <w:r w:rsidRPr="00934217">
              <w:rPr>
                <w:i/>
                <w:iCs/>
                <w:sz w:val="21"/>
                <w:szCs w:val="21"/>
              </w:rPr>
              <w:t>EY Global Review 2020: How will we reframe our future?</w:t>
            </w:r>
            <w:r w:rsidRPr="00934217">
              <w:rPr>
                <w:sz w:val="21"/>
                <w:szCs w:val="21"/>
              </w:rPr>
              <w:t xml:space="preserve"> https://www.ey.com/en_vn/global-review-2020</w:t>
            </w:r>
          </w:p>
          <w:p w14:paraId="4D3747B8" w14:textId="77777777" w:rsidR="00136DBB" w:rsidRPr="00934217" w:rsidRDefault="00136DBB" w:rsidP="00934217">
            <w:pPr>
              <w:pStyle w:val="ListParagraph"/>
              <w:numPr>
                <w:ilvl w:val="0"/>
                <w:numId w:val="35"/>
              </w:numPr>
              <w:rPr>
                <w:sz w:val="21"/>
                <w:szCs w:val="21"/>
              </w:rPr>
            </w:pPr>
            <w:r w:rsidRPr="00934217">
              <w:rPr>
                <w:sz w:val="21"/>
                <w:szCs w:val="21"/>
              </w:rPr>
              <w:t xml:space="preserve">KPMG. (2006). </w:t>
            </w:r>
            <w:r w:rsidRPr="00934217">
              <w:rPr>
                <w:i/>
                <w:iCs/>
                <w:sz w:val="21"/>
                <w:szCs w:val="21"/>
              </w:rPr>
              <w:t>International Annual Review 2006</w:t>
            </w:r>
            <w:r w:rsidRPr="00934217">
              <w:rPr>
                <w:sz w:val="21"/>
                <w:szCs w:val="21"/>
              </w:rPr>
              <w:t>.</w:t>
            </w:r>
          </w:p>
          <w:p w14:paraId="5CC74518" w14:textId="77777777" w:rsidR="00136DBB" w:rsidRPr="00934217" w:rsidRDefault="00136DBB" w:rsidP="00934217">
            <w:pPr>
              <w:pStyle w:val="ListParagraph"/>
              <w:numPr>
                <w:ilvl w:val="0"/>
                <w:numId w:val="35"/>
              </w:numPr>
              <w:rPr>
                <w:sz w:val="21"/>
                <w:szCs w:val="21"/>
              </w:rPr>
            </w:pPr>
            <w:r w:rsidRPr="00934217">
              <w:rPr>
                <w:sz w:val="21"/>
                <w:szCs w:val="21"/>
              </w:rPr>
              <w:t xml:space="preserve">KPMG. (2009). </w:t>
            </w:r>
            <w:r w:rsidRPr="00934217">
              <w:rPr>
                <w:i/>
                <w:iCs/>
                <w:sz w:val="21"/>
                <w:szCs w:val="21"/>
              </w:rPr>
              <w:t>KPMG reports 2009 revenues of US$20.1 billion</w:t>
            </w:r>
            <w:r w:rsidRPr="00934217">
              <w:rPr>
                <w:sz w:val="21"/>
                <w:szCs w:val="21"/>
              </w:rPr>
              <w:t>. KPMG International. https://home.kpmg/cn/en/home/news-media/press-releases/2009/12/kpmg-reports-2009-revenues-of-us-20-1-billion.html</w:t>
            </w:r>
          </w:p>
          <w:p w14:paraId="63B28F18" w14:textId="77777777" w:rsidR="00136DBB" w:rsidRPr="00934217" w:rsidRDefault="00136DBB" w:rsidP="00934217">
            <w:pPr>
              <w:pStyle w:val="ListParagraph"/>
              <w:numPr>
                <w:ilvl w:val="0"/>
                <w:numId w:val="35"/>
              </w:numPr>
              <w:rPr>
                <w:sz w:val="21"/>
                <w:szCs w:val="21"/>
              </w:rPr>
            </w:pPr>
            <w:r w:rsidRPr="00934217">
              <w:rPr>
                <w:sz w:val="21"/>
                <w:szCs w:val="21"/>
              </w:rPr>
              <w:t xml:space="preserve">KPMG. (2010). </w:t>
            </w:r>
            <w:r w:rsidRPr="00934217">
              <w:rPr>
                <w:i/>
                <w:iCs/>
                <w:sz w:val="21"/>
                <w:szCs w:val="21"/>
              </w:rPr>
              <w:t>International Annual Review 2010</w:t>
            </w:r>
            <w:r w:rsidRPr="00934217">
              <w:rPr>
                <w:sz w:val="21"/>
                <w:szCs w:val="21"/>
              </w:rPr>
              <w:t>.</w:t>
            </w:r>
          </w:p>
          <w:p w14:paraId="542882B4" w14:textId="77777777" w:rsidR="00136DBB" w:rsidRPr="00934217" w:rsidRDefault="00136DBB" w:rsidP="00934217">
            <w:pPr>
              <w:pStyle w:val="ListParagraph"/>
              <w:numPr>
                <w:ilvl w:val="0"/>
                <w:numId w:val="35"/>
              </w:numPr>
              <w:rPr>
                <w:sz w:val="21"/>
                <w:szCs w:val="21"/>
              </w:rPr>
            </w:pPr>
            <w:r w:rsidRPr="00934217">
              <w:rPr>
                <w:sz w:val="21"/>
                <w:szCs w:val="21"/>
              </w:rPr>
              <w:t xml:space="preserve">KPMG. (2011). </w:t>
            </w:r>
            <w:r w:rsidRPr="00934217">
              <w:rPr>
                <w:i/>
                <w:iCs/>
                <w:sz w:val="21"/>
                <w:szCs w:val="21"/>
              </w:rPr>
              <w:t>International Annual Review 2011</w:t>
            </w:r>
            <w:r w:rsidRPr="00934217">
              <w:rPr>
                <w:sz w:val="21"/>
                <w:szCs w:val="21"/>
              </w:rPr>
              <w:t>. https://home.kpmg/content/dam/kpmg/pdf/2012/01/kpmg-international-annual-review-2011.pdf</w:t>
            </w:r>
          </w:p>
          <w:p w14:paraId="312B1E51" w14:textId="77777777" w:rsidR="00136DBB" w:rsidRPr="00934217" w:rsidRDefault="00136DBB" w:rsidP="00934217">
            <w:pPr>
              <w:pStyle w:val="ListParagraph"/>
              <w:numPr>
                <w:ilvl w:val="0"/>
                <w:numId w:val="35"/>
              </w:numPr>
              <w:rPr>
                <w:sz w:val="21"/>
                <w:szCs w:val="21"/>
              </w:rPr>
            </w:pPr>
            <w:r w:rsidRPr="00934217">
              <w:rPr>
                <w:sz w:val="21"/>
                <w:szCs w:val="21"/>
              </w:rPr>
              <w:t xml:space="preserve">KPMG. (2012). </w:t>
            </w:r>
            <w:r w:rsidRPr="00934217">
              <w:rPr>
                <w:i/>
                <w:iCs/>
                <w:sz w:val="21"/>
                <w:szCs w:val="21"/>
              </w:rPr>
              <w:t>International Annual Review 2012</w:t>
            </w:r>
            <w:r w:rsidRPr="00934217">
              <w:rPr>
                <w:sz w:val="21"/>
                <w:szCs w:val="21"/>
              </w:rPr>
              <w:t>. https://home.kpmg/content/dam/kpmg/pdf/2013/12/kpmg-international-annual-review-2012.pdf</w:t>
            </w:r>
          </w:p>
          <w:p w14:paraId="5E36C49E" w14:textId="77777777" w:rsidR="00136DBB" w:rsidRPr="00934217" w:rsidRDefault="00136DBB" w:rsidP="00934217">
            <w:pPr>
              <w:pStyle w:val="ListParagraph"/>
              <w:numPr>
                <w:ilvl w:val="0"/>
                <w:numId w:val="35"/>
              </w:numPr>
              <w:rPr>
                <w:sz w:val="21"/>
                <w:szCs w:val="21"/>
              </w:rPr>
            </w:pPr>
            <w:r w:rsidRPr="00934217">
              <w:rPr>
                <w:sz w:val="21"/>
                <w:szCs w:val="21"/>
              </w:rPr>
              <w:t xml:space="preserve">KPMG. (2013). </w:t>
            </w:r>
            <w:r w:rsidRPr="00934217">
              <w:rPr>
                <w:i/>
                <w:iCs/>
                <w:sz w:val="21"/>
                <w:szCs w:val="21"/>
              </w:rPr>
              <w:t>International Annual Review 2013</w:t>
            </w:r>
            <w:r w:rsidRPr="00934217">
              <w:rPr>
                <w:sz w:val="21"/>
                <w:szCs w:val="21"/>
              </w:rPr>
              <w:t>. https://home.kpmg/content/dam/kpmg/pdf/2013/12/international-annual-review-2013.pdf</w:t>
            </w:r>
          </w:p>
          <w:p w14:paraId="7621CE44" w14:textId="77777777" w:rsidR="00136DBB" w:rsidRPr="00934217" w:rsidRDefault="00136DBB" w:rsidP="00934217">
            <w:pPr>
              <w:pStyle w:val="ListParagraph"/>
              <w:numPr>
                <w:ilvl w:val="0"/>
                <w:numId w:val="35"/>
              </w:numPr>
              <w:rPr>
                <w:sz w:val="21"/>
                <w:szCs w:val="21"/>
              </w:rPr>
            </w:pPr>
            <w:r w:rsidRPr="00934217">
              <w:rPr>
                <w:sz w:val="21"/>
                <w:szCs w:val="21"/>
              </w:rPr>
              <w:t xml:space="preserve">KPMG. (2014). </w:t>
            </w:r>
            <w:r w:rsidRPr="00934217">
              <w:rPr>
                <w:i/>
                <w:iCs/>
                <w:sz w:val="21"/>
                <w:szCs w:val="21"/>
              </w:rPr>
              <w:t>2014 KPMG International Annual Review</w:t>
            </w:r>
            <w:r w:rsidRPr="00934217">
              <w:rPr>
                <w:sz w:val="21"/>
                <w:szCs w:val="21"/>
              </w:rPr>
              <w:t>. https://home.kpmg/content/dam/kpmg/pdf/2014/12/international-annual-review-2014.pdf</w:t>
            </w:r>
          </w:p>
          <w:p w14:paraId="09F303FD" w14:textId="77777777" w:rsidR="00136DBB" w:rsidRPr="00934217" w:rsidRDefault="00136DBB" w:rsidP="00934217">
            <w:pPr>
              <w:pStyle w:val="ListParagraph"/>
              <w:numPr>
                <w:ilvl w:val="0"/>
                <w:numId w:val="35"/>
              </w:numPr>
              <w:rPr>
                <w:sz w:val="21"/>
                <w:szCs w:val="21"/>
              </w:rPr>
            </w:pPr>
            <w:r w:rsidRPr="00934217">
              <w:rPr>
                <w:sz w:val="21"/>
                <w:szCs w:val="21"/>
              </w:rPr>
              <w:t xml:space="preserve">KPMG. (2015). </w:t>
            </w:r>
            <w:r w:rsidRPr="00934217">
              <w:rPr>
                <w:i/>
                <w:iCs/>
                <w:sz w:val="21"/>
                <w:szCs w:val="21"/>
              </w:rPr>
              <w:t>2015 KPMG International Annual Review: Passion. Purpose. Perspective.</w:t>
            </w:r>
            <w:r w:rsidRPr="00934217">
              <w:rPr>
                <w:sz w:val="21"/>
                <w:szCs w:val="21"/>
              </w:rPr>
              <w:t xml:space="preserve"> https://assets.kpmg/content/dam/kpmg/pdf/2015/12/international-annual-review-2015.pdf</w:t>
            </w:r>
          </w:p>
          <w:p w14:paraId="4AECA8FF" w14:textId="77777777" w:rsidR="00136DBB" w:rsidRPr="00934217" w:rsidRDefault="00136DBB" w:rsidP="00934217">
            <w:pPr>
              <w:pStyle w:val="ListParagraph"/>
              <w:numPr>
                <w:ilvl w:val="0"/>
                <w:numId w:val="35"/>
              </w:numPr>
              <w:rPr>
                <w:sz w:val="21"/>
                <w:szCs w:val="21"/>
              </w:rPr>
            </w:pPr>
            <w:r w:rsidRPr="00934217">
              <w:rPr>
                <w:sz w:val="21"/>
                <w:szCs w:val="21"/>
              </w:rPr>
              <w:t xml:space="preserve">KPMG. (2016). </w:t>
            </w:r>
            <w:r w:rsidRPr="00934217">
              <w:rPr>
                <w:i/>
                <w:iCs/>
                <w:sz w:val="21"/>
                <w:szCs w:val="21"/>
              </w:rPr>
              <w:t>2016 International Annual Review: Anticipate. Innovate. Deliver.</w:t>
            </w:r>
            <w:r w:rsidRPr="00934217">
              <w:rPr>
                <w:sz w:val="21"/>
                <w:szCs w:val="21"/>
              </w:rPr>
              <w:t xml:space="preserve"> https://assets.kpmg/content/dam/kpmg/iar/international-annual-review-2016.pdf</w:t>
            </w:r>
          </w:p>
          <w:p w14:paraId="741C1F4B" w14:textId="77777777" w:rsidR="00136DBB" w:rsidRPr="00934217" w:rsidRDefault="00136DBB" w:rsidP="00934217">
            <w:pPr>
              <w:pStyle w:val="ListParagraph"/>
              <w:numPr>
                <w:ilvl w:val="0"/>
                <w:numId w:val="35"/>
              </w:numPr>
              <w:rPr>
                <w:sz w:val="21"/>
                <w:szCs w:val="21"/>
              </w:rPr>
            </w:pPr>
            <w:r w:rsidRPr="00934217">
              <w:rPr>
                <w:sz w:val="21"/>
                <w:szCs w:val="21"/>
              </w:rPr>
              <w:lastRenderedPageBreak/>
              <w:t xml:space="preserve">KPMG. (2017). </w:t>
            </w:r>
            <w:r w:rsidRPr="00934217">
              <w:rPr>
                <w:i/>
                <w:iCs/>
                <w:sz w:val="21"/>
                <w:szCs w:val="21"/>
              </w:rPr>
              <w:t>2017 International Annual Review: Innovate. Disrupt. Grow</w:t>
            </w:r>
            <w:r w:rsidRPr="00934217">
              <w:rPr>
                <w:sz w:val="21"/>
                <w:szCs w:val="21"/>
              </w:rPr>
              <w:t>. https://assets.kpmg/content/dam/kpmg/xx/pdf/2017/12/international-annual-review-2017.pdf</w:t>
            </w:r>
          </w:p>
          <w:p w14:paraId="75E96638" w14:textId="77777777" w:rsidR="00136DBB" w:rsidRPr="00934217" w:rsidRDefault="00136DBB" w:rsidP="00934217">
            <w:pPr>
              <w:pStyle w:val="ListParagraph"/>
              <w:numPr>
                <w:ilvl w:val="0"/>
                <w:numId w:val="35"/>
              </w:numPr>
              <w:rPr>
                <w:sz w:val="21"/>
                <w:szCs w:val="21"/>
              </w:rPr>
            </w:pPr>
            <w:r w:rsidRPr="00934217">
              <w:rPr>
                <w:sz w:val="21"/>
                <w:szCs w:val="21"/>
              </w:rPr>
              <w:t xml:space="preserve">KPMG. (2018). </w:t>
            </w:r>
            <w:r w:rsidRPr="00934217">
              <w:rPr>
                <w:i/>
                <w:iCs/>
                <w:sz w:val="21"/>
                <w:szCs w:val="21"/>
              </w:rPr>
              <w:t>2018 KPMG Global Review: The future. Delivered together.</w:t>
            </w:r>
            <w:r w:rsidRPr="00934217">
              <w:rPr>
                <w:sz w:val="21"/>
                <w:szCs w:val="21"/>
              </w:rPr>
              <w:t xml:space="preserve"> https://home.kpmg/content/dam/kpmg/xx/pdf/2018/12/global-review-2018.pdf</w:t>
            </w:r>
          </w:p>
          <w:p w14:paraId="16037ACB" w14:textId="77777777" w:rsidR="00136DBB" w:rsidRPr="00934217" w:rsidRDefault="00136DBB" w:rsidP="00934217">
            <w:pPr>
              <w:pStyle w:val="ListParagraph"/>
              <w:numPr>
                <w:ilvl w:val="0"/>
                <w:numId w:val="35"/>
              </w:numPr>
              <w:rPr>
                <w:sz w:val="21"/>
                <w:szCs w:val="21"/>
              </w:rPr>
            </w:pPr>
            <w:r w:rsidRPr="00934217">
              <w:rPr>
                <w:sz w:val="21"/>
                <w:szCs w:val="21"/>
              </w:rPr>
              <w:t xml:space="preserve">KPMG. (2019). </w:t>
            </w:r>
            <w:r w:rsidRPr="00934217">
              <w:rPr>
                <w:i/>
                <w:iCs/>
                <w:sz w:val="21"/>
                <w:szCs w:val="21"/>
              </w:rPr>
              <w:t>2019 KPMG Global Review: People. Perspectives. Possibilities</w:t>
            </w:r>
            <w:r w:rsidRPr="00934217">
              <w:rPr>
                <w:sz w:val="21"/>
                <w:szCs w:val="21"/>
              </w:rPr>
              <w:t>.</w:t>
            </w:r>
          </w:p>
          <w:p w14:paraId="1E8A6862" w14:textId="77777777" w:rsidR="00136DBB" w:rsidRPr="00934217" w:rsidRDefault="00136DBB" w:rsidP="00934217">
            <w:pPr>
              <w:pStyle w:val="ListParagraph"/>
              <w:numPr>
                <w:ilvl w:val="0"/>
                <w:numId w:val="35"/>
              </w:numPr>
              <w:rPr>
                <w:sz w:val="21"/>
                <w:szCs w:val="21"/>
              </w:rPr>
            </w:pPr>
            <w:r w:rsidRPr="00934217">
              <w:rPr>
                <w:sz w:val="21"/>
                <w:szCs w:val="21"/>
              </w:rPr>
              <w:t xml:space="preserve">PwC. (2004). </w:t>
            </w:r>
            <w:r w:rsidRPr="00934217">
              <w:rPr>
                <w:i/>
                <w:iCs/>
                <w:sz w:val="21"/>
                <w:szCs w:val="21"/>
              </w:rPr>
              <w:t>2004 Global Annual Review</w:t>
            </w:r>
            <w:r w:rsidRPr="00934217">
              <w:rPr>
                <w:sz w:val="21"/>
                <w:szCs w:val="21"/>
              </w:rPr>
              <w:t xml:space="preserve">. </w:t>
            </w:r>
            <w:hyperlink r:id="rId14" w:history="1">
              <w:r w:rsidRPr="00934217">
                <w:rPr>
                  <w:rStyle w:val="Hyperlink"/>
                  <w:sz w:val="21"/>
                  <w:szCs w:val="21"/>
                </w:rPr>
                <w:t>https://ungc-production.s3.us-west-2.amazonaws.com/attachments/7107/original/PwC_Global_Annual_Review_2004.pdf?1282019080</w:t>
              </w:r>
            </w:hyperlink>
          </w:p>
          <w:p w14:paraId="3ED338A4" w14:textId="77777777" w:rsidR="00136DBB" w:rsidRPr="00934217" w:rsidRDefault="00136DBB" w:rsidP="00934217">
            <w:pPr>
              <w:pStyle w:val="ListParagraph"/>
              <w:numPr>
                <w:ilvl w:val="0"/>
                <w:numId w:val="35"/>
              </w:numPr>
              <w:rPr>
                <w:sz w:val="21"/>
                <w:szCs w:val="21"/>
              </w:rPr>
            </w:pPr>
            <w:r w:rsidRPr="00934217">
              <w:rPr>
                <w:sz w:val="21"/>
                <w:szCs w:val="21"/>
              </w:rPr>
              <w:t xml:space="preserve">PwC. (2009). </w:t>
            </w:r>
            <w:r w:rsidRPr="00934217">
              <w:rPr>
                <w:i/>
                <w:iCs/>
                <w:sz w:val="21"/>
                <w:szCs w:val="21"/>
              </w:rPr>
              <w:t>Global Annual Review 2009</w:t>
            </w:r>
            <w:r w:rsidRPr="00934217">
              <w:rPr>
                <w:sz w:val="21"/>
                <w:szCs w:val="21"/>
              </w:rPr>
              <w:t>.</w:t>
            </w:r>
          </w:p>
          <w:p w14:paraId="4830B888" w14:textId="77777777" w:rsidR="00136DBB" w:rsidRPr="00934217" w:rsidRDefault="00136DBB" w:rsidP="00934217">
            <w:pPr>
              <w:pStyle w:val="ListParagraph"/>
              <w:numPr>
                <w:ilvl w:val="0"/>
                <w:numId w:val="35"/>
              </w:numPr>
              <w:rPr>
                <w:sz w:val="21"/>
                <w:szCs w:val="21"/>
              </w:rPr>
            </w:pPr>
            <w:r w:rsidRPr="00934217">
              <w:rPr>
                <w:sz w:val="21"/>
                <w:szCs w:val="21"/>
              </w:rPr>
              <w:t xml:space="preserve">PwC. (2010). </w:t>
            </w:r>
            <w:r w:rsidRPr="00934217">
              <w:rPr>
                <w:i/>
                <w:iCs/>
                <w:sz w:val="21"/>
                <w:szCs w:val="21"/>
              </w:rPr>
              <w:t>Global Annual Review 2010: Building relationships. Creating value</w:t>
            </w:r>
            <w:r w:rsidRPr="00934217">
              <w:rPr>
                <w:sz w:val="21"/>
                <w:szCs w:val="21"/>
              </w:rPr>
              <w:t>. http://services.paperjam.lu/sites/default/files/old-files/fichiers_contenus/rapports_annuels/2011/pwcglobal-annual-review-2010.pdf</w:t>
            </w:r>
          </w:p>
          <w:p w14:paraId="102401CA" w14:textId="77777777" w:rsidR="00136DBB" w:rsidRPr="00934217" w:rsidRDefault="00136DBB" w:rsidP="00934217">
            <w:pPr>
              <w:pStyle w:val="ListParagraph"/>
              <w:numPr>
                <w:ilvl w:val="0"/>
                <w:numId w:val="35"/>
              </w:numPr>
              <w:rPr>
                <w:sz w:val="21"/>
                <w:szCs w:val="21"/>
              </w:rPr>
            </w:pPr>
            <w:r w:rsidRPr="00934217">
              <w:rPr>
                <w:sz w:val="21"/>
                <w:szCs w:val="21"/>
              </w:rPr>
              <w:t xml:space="preserve">PwC. (2011). </w:t>
            </w:r>
            <w:r w:rsidRPr="00934217">
              <w:rPr>
                <w:i/>
                <w:iCs/>
                <w:sz w:val="21"/>
                <w:szCs w:val="21"/>
              </w:rPr>
              <w:t>Global Annual Review 2011: Talent to succeed</w:t>
            </w:r>
            <w:r w:rsidRPr="00934217">
              <w:rPr>
                <w:sz w:val="21"/>
                <w:szCs w:val="21"/>
              </w:rPr>
              <w:t>. https://www.pwc.com.au/about-us/annual-review/assets/global-annual-review-11.pdf</w:t>
            </w:r>
          </w:p>
          <w:p w14:paraId="506567B1" w14:textId="77777777" w:rsidR="00136DBB" w:rsidRPr="00934217" w:rsidRDefault="00136DBB" w:rsidP="00934217">
            <w:pPr>
              <w:pStyle w:val="ListParagraph"/>
              <w:numPr>
                <w:ilvl w:val="0"/>
                <w:numId w:val="35"/>
              </w:numPr>
              <w:rPr>
                <w:sz w:val="21"/>
                <w:szCs w:val="21"/>
              </w:rPr>
            </w:pPr>
            <w:r w:rsidRPr="00934217">
              <w:rPr>
                <w:sz w:val="21"/>
                <w:szCs w:val="21"/>
              </w:rPr>
              <w:t xml:space="preserve">PwC. (2012). </w:t>
            </w:r>
            <w:r w:rsidRPr="00934217">
              <w:rPr>
                <w:i/>
                <w:iCs/>
                <w:sz w:val="21"/>
                <w:szCs w:val="21"/>
              </w:rPr>
              <w:t>Global Annual Review 2012: Rethinking the future</w:t>
            </w:r>
            <w:r w:rsidRPr="00934217">
              <w:rPr>
                <w:sz w:val="21"/>
                <w:szCs w:val="21"/>
              </w:rPr>
              <w:t>. https://www.pwc.com.au/about-us/annual-review/assets/global-annual-review-12.pdf</w:t>
            </w:r>
          </w:p>
          <w:p w14:paraId="5D47CBD0" w14:textId="77777777" w:rsidR="00136DBB" w:rsidRPr="00934217" w:rsidRDefault="00136DBB" w:rsidP="00934217">
            <w:pPr>
              <w:pStyle w:val="ListParagraph"/>
              <w:numPr>
                <w:ilvl w:val="0"/>
                <w:numId w:val="35"/>
              </w:numPr>
              <w:rPr>
                <w:sz w:val="21"/>
                <w:szCs w:val="21"/>
              </w:rPr>
            </w:pPr>
            <w:r w:rsidRPr="00934217">
              <w:rPr>
                <w:sz w:val="21"/>
                <w:szCs w:val="21"/>
              </w:rPr>
              <w:t xml:space="preserve">PwC. (2013). </w:t>
            </w:r>
            <w:r w:rsidRPr="00934217">
              <w:rPr>
                <w:i/>
                <w:iCs/>
                <w:sz w:val="21"/>
                <w:szCs w:val="21"/>
              </w:rPr>
              <w:t>Global Annual Review 2013: Building trust in a time of change</w:t>
            </w:r>
            <w:r w:rsidRPr="00934217">
              <w:rPr>
                <w:sz w:val="21"/>
                <w:szCs w:val="21"/>
              </w:rPr>
              <w:t>. https://www.pwc.com.au/about-us/annual-review/assets/global-annual-review-13.pdf</w:t>
            </w:r>
          </w:p>
          <w:p w14:paraId="2662D497" w14:textId="77777777" w:rsidR="00136DBB" w:rsidRPr="00934217" w:rsidRDefault="00136DBB" w:rsidP="00934217">
            <w:pPr>
              <w:pStyle w:val="ListParagraph"/>
              <w:numPr>
                <w:ilvl w:val="0"/>
                <w:numId w:val="35"/>
              </w:numPr>
              <w:rPr>
                <w:sz w:val="21"/>
                <w:szCs w:val="21"/>
              </w:rPr>
            </w:pPr>
            <w:r w:rsidRPr="00934217">
              <w:rPr>
                <w:sz w:val="21"/>
                <w:szCs w:val="21"/>
              </w:rPr>
              <w:t xml:space="preserve">PwC. (2014). </w:t>
            </w:r>
            <w:r w:rsidRPr="00934217">
              <w:rPr>
                <w:i/>
                <w:iCs/>
                <w:sz w:val="21"/>
                <w:szCs w:val="21"/>
              </w:rPr>
              <w:t>Global Annual Review 2014: Anticipating problems, finding solutions</w:t>
            </w:r>
            <w:r w:rsidRPr="00934217">
              <w:rPr>
                <w:sz w:val="21"/>
                <w:szCs w:val="21"/>
              </w:rPr>
              <w:t>.</w:t>
            </w:r>
          </w:p>
          <w:p w14:paraId="38825928" w14:textId="77777777" w:rsidR="00136DBB" w:rsidRPr="00934217" w:rsidRDefault="00136DBB" w:rsidP="00934217">
            <w:pPr>
              <w:pStyle w:val="ListParagraph"/>
              <w:numPr>
                <w:ilvl w:val="0"/>
                <w:numId w:val="35"/>
              </w:numPr>
              <w:rPr>
                <w:sz w:val="21"/>
                <w:szCs w:val="21"/>
              </w:rPr>
            </w:pPr>
            <w:r w:rsidRPr="00934217">
              <w:rPr>
                <w:sz w:val="21"/>
                <w:szCs w:val="21"/>
              </w:rPr>
              <w:t xml:space="preserve">PwC. (2015). </w:t>
            </w:r>
            <w:r w:rsidRPr="00934217">
              <w:rPr>
                <w:i/>
                <w:iCs/>
                <w:sz w:val="21"/>
                <w:szCs w:val="21"/>
              </w:rPr>
              <w:t>Global Annual Review 2015: Shaping our future</w:t>
            </w:r>
            <w:r w:rsidRPr="00934217">
              <w:rPr>
                <w:sz w:val="21"/>
                <w:szCs w:val="21"/>
              </w:rPr>
              <w:t xml:space="preserve">. </w:t>
            </w:r>
            <w:hyperlink r:id="rId15" w:history="1">
              <w:r w:rsidRPr="00934217">
                <w:rPr>
                  <w:rStyle w:val="Hyperlink"/>
                  <w:sz w:val="21"/>
                  <w:szCs w:val="21"/>
                </w:rPr>
                <w:t>https://www.pwc.com.au/about-us/annual-review/assets/global-annual-review-15.pdf</w:t>
              </w:r>
            </w:hyperlink>
          </w:p>
          <w:p w14:paraId="7BA32520" w14:textId="77777777" w:rsidR="00136DBB" w:rsidRDefault="00136DBB" w:rsidP="00934217">
            <w:pPr>
              <w:pStyle w:val="ListParagraph"/>
              <w:numPr>
                <w:ilvl w:val="0"/>
                <w:numId w:val="35"/>
              </w:numPr>
              <w:rPr>
                <w:sz w:val="21"/>
                <w:szCs w:val="21"/>
              </w:rPr>
            </w:pPr>
            <w:r w:rsidRPr="00934217">
              <w:rPr>
                <w:sz w:val="21"/>
                <w:szCs w:val="21"/>
              </w:rPr>
              <w:t xml:space="preserve">PwC. (2016). </w:t>
            </w:r>
            <w:r w:rsidRPr="00934217">
              <w:rPr>
                <w:i/>
                <w:iCs/>
                <w:sz w:val="21"/>
                <w:szCs w:val="21"/>
              </w:rPr>
              <w:t>Global Annual Review 2016: Making a difference</w:t>
            </w:r>
            <w:r w:rsidRPr="00934217">
              <w:rPr>
                <w:sz w:val="21"/>
                <w:szCs w:val="21"/>
              </w:rPr>
              <w:t xml:space="preserve">. </w:t>
            </w:r>
            <w:hyperlink r:id="rId16" w:history="1">
              <w:r w:rsidRPr="00C5205E">
                <w:rPr>
                  <w:rStyle w:val="Hyperlink"/>
                  <w:sz w:val="21"/>
                  <w:szCs w:val="21"/>
                </w:rPr>
                <w:t>https://www.pwc.com/ua/en/survey/2016/global-annual-review-2016.html</w:t>
              </w:r>
            </w:hyperlink>
            <w:r>
              <w:rPr>
                <w:sz w:val="21"/>
                <w:szCs w:val="21"/>
              </w:rPr>
              <w:t xml:space="preserve"> </w:t>
            </w:r>
          </w:p>
          <w:p w14:paraId="3CD43569" w14:textId="77777777" w:rsidR="00136DBB" w:rsidRPr="00934217" w:rsidRDefault="00136DBB" w:rsidP="00934217">
            <w:pPr>
              <w:pStyle w:val="ListParagraph"/>
              <w:numPr>
                <w:ilvl w:val="0"/>
                <w:numId w:val="35"/>
              </w:numPr>
              <w:rPr>
                <w:rStyle w:val="Hyperlink"/>
                <w:color w:val="auto"/>
                <w:sz w:val="21"/>
                <w:szCs w:val="21"/>
                <w:u w:val="none"/>
              </w:rPr>
            </w:pPr>
            <w:r w:rsidRPr="00934217">
              <w:rPr>
                <w:sz w:val="21"/>
                <w:szCs w:val="21"/>
              </w:rPr>
              <w:t xml:space="preserve">PwC. (2020). </w:t>
            </w:r>
            <w:r w:rsidRPr="00934217">
              <w:rPr>
                <w:i/>
                <w:iCs/>
                <w:sz w:val="21"/>
                <w:szCs w:val="21"/>
              </w:rPr>
              <w:t>Global Annual Review 2020: Working together to build a better tomorrow</w:t>
            </w:r>
            <w:r w:rsidRPr="00934217">
              <w:rPr>
                <w:sz w:val="21"/>
                <w:szCs w:val="21"/>
              </w:rPr>
              <w:t xml:space="preserve">. </w:t>
            </w:r>
            <w:hyperlink r:id="rId17" w:history="1">
              <w:r w:rsidRPr="00934217">
                <w:rPr>
                  <w:rStyle w:val="Hyperlink"/>
                  <w:sz w:val="21"/>
                  <w:szCs w:val="21"/>
                </w:rPr>
                <w:t>https://www.pwc.com/gx/en/about-pwc/global-annual-review-2020/downloads/pwc-global-annual-review-2020.pdf</w:t>
              </w:r>
            </w:hyperlink>
            <w:r w:rsidRPr="00934217">
              <w:rPr>
                <w:rStyle w:val="Hyperlink"/>
                <w:sz w:val="21"/>
                <w:szCs w:val="21"/>
              </w:rPr>
              <w:t xml:space="preserve">. </w:t>
            </w:r>
          </w:p>
          <w:p w14:paraId="4ECA0D09" w14:textId="3411CF7E" w:rsidR="00934217" w:rsidRPr="00934217" w:rsidRDefault="00136DBB" w:rsidP="00934217">
            <w:pPr>
              <w:pStyle w:val="ListParagraph"/>
              <w:numPr>
                <w:ilvl w:val="0"/>
                <w:numId w:val="35"/>
              </w:numPr>
              <w:rPr>
                <w:sz w:val="21"/>
                <w:szCs w:val="21"/>
              </w:rPr>
            </w:pPr>
            <w:r w:rsidRPr="002B31FC">
              <w:rPr>
                <w:sz w:val="21"/>
                <w:szCs w:val="21"/>
              </w:rPr>
              <w:t xml:space="preserve">PwC. (2020). </w:t>
            </w:r>
            <w:r w:rsidRPr="002B31FC">
              <w:rPr>
                <w:i/>
                <w:iCs/>
                <w:sz w:val="21"/>
                <w:szCs w:val="21"/>
              </w:rPr>
              <w:t xml:space="preserve">Global Top 100 companies by market </w:t>
            </w:r>
            <w:proofErr w:type="spellStart"/>
            <w:r w:rsidRPr="002B31FC">
              <w:rPr>
                <w:i/>
                <w:iCs/>
                <w:sz w:val="21"/>
                <w:szCs w:val="21"/>
              </w:rPr>
              <w:t>capitalisation</w:t>
            </w:r>
            <w:proofErr w:type="spellEnd"/>
            <w:r w:rsidRPr="002B31FC">
              <w:rPr>
                <w:sz w:val="21"/>
                <w:szCs w:val="21"/>
              </w:rPr>
              <w:t>. https://www.pwc.com/gx/en/audit-services/publications/assets/global-top-100-companies-june-2020-update.pdf</w:t>
            </w:r>
          </w:p>
        </w:tc>
      </w:tr>
      <w:tr w:rsidR="00F74D6C" w:rsidRPr="00F017C3" w14:paraId="66431184" w14:textId="77777777" w:rsidTr="00136DBB">
        <w:trPr>
          <w:trHeight w:val="249"/>
        </w:trPr>
        <w:tc>
          <w:tcPr>
            <w:tcW w:w="9020" w:type="dxa"/>
            <w:tcBorders>
              <w:top w:val="nil"/>
              <w:left w:val="nil"/>
              <w:bottom w:val="nil"/>
              <w:right w:val="nil"/>
            </w:tcBorders>
            <w:shd w:val="clear" w:color="auto" w:fill="auto"/>
            <w:vAlign w:val="center"/>
          </w:tcPr>
          <w:p w14:paraId="47677011" w14:textId="77777777" w:rsidR="00F74D6C" w:rsidRPr="00F017C3" w:rsidRDefault="00F74D6C" w:rsidP="00DB2A48">
            <w:pPr>
              <w:jc w:val="center"/>
              <w:rPr>
                <w:color w:val="000000"/>
                <w:sz w:val="21"/>
                <w:szCs w:val="21"/>
              </w:rPr>
            </w:pPr>
          </w:p>
        </w:tc>
      </w:tr>
      <w:tr w:rsidR="00F74D6C" w:rsidRPr="00F017C3" w14:paraId="6FA2403F" w14:textId="77777777" w:rsidTr="00136DBB">
        <w:trPr>
          <w:trHeight w:val="249"/>
        </w:trPr>
        <w:tc>
          <w:tcPr>
            <w:tcW w:w="9020" w:type="dxa"/>
            <w:tcBorders>
              <w:top w:val="nil"/>
              <w:left w:val="nil"/>
              <w:bottom w:val="nil"/>
              <w:right w:val="nil"/>
            </w:tcBorders>
            <w:shd w:val="clear" w:color="auto" w:fill="auto"/>
            <w:vAlign w:val="center"/>
          </w:tcPr>
          <w:p w14:paraId="0ADA314E" w14:textId="77777777" w:rsidR="00F74D6C" w:rsidRPr="00F017C3" w:rsidRDefault="00F74D6C" w:rsidP="00DB2A48">
            <w:pPr>
              <w:jc w:val="center"/>
              <w:rPr>
                <w:color w:val="000000"/>
                <w:sz w:val="21"/>
                <w:szCs w:val="21"/>
              </w:rPr>
            </w:pPr>
          </w:p>
        </w:tc>
      </w:tr>
      <w:tr w:rsidR="00F74D6C" w:rsidRPr="00F017C3" w14:paraId="720FA5A9" w14:textId="77777777" w:rsidTr="00136DBB">
        <w:trPr>
          <w:trHeight w:val="249"/>
        </w:trPr>
        <w:tc>
          <w:tcPr>
            <w:tcW w:w="9020" w:type="dxa"/>
            <w:tcBorders>
              <w:top w:val="nil"/>
              <w:left w:val="nil"/>
              <w:bottom w:val="single" w:sz="4" w:space="0" w:color="auto"/>
              <w:right w:val="nil"/>
            </w:tcBorders>
            <w:shd w:val="clear" w:color="auto" w:fill="auto"/>
            <w:vAlign w:val="center"/>
          </w:tcPr>
          <w:p w14:paraId="3E879298" w14:textId="77777777" w:rsidR="00F74D6C" w:rsidRPr="00F017C3" w:rsidRDefault="00F74D6C" w:rsidP="00DB2A48">
            <w:pPr>
              <w:jc w:val="left"/>
              <w:rPr>
                <w:color w:val="000000"/>
                <w:sz w:val="21"/>
                <w:szCs w:val="21"/>
              </w:rPr>
            </w:pPr>
            <w:r>
              <w:rPr>
                <w:color w:val="000000"/>
                <w:sz w:val="21"/>
                <w:szCs w:val="21"/>
              </w:rPr>
              <w:t>Other</w:t>
            </w:r>
            <w:r w:rsidRPr="00F017C3">
              <w:rPr>
                <w:color w:val="000000"/>
                <w:sz w:val="21"/>
                <w:szCs w:val="21"/>
              </w:rPr>
              <w:t xml:space="preserve"> Reports</w:t>
            </w:r>
          </w:p>
        </w:tc>
      </w:tr>
      <w:tr w:rsidR="00F74D6C" w:rsidRPr="00F017C3" w14:paraId="5CCF26AC" w14:textId="77777777" w:rsidTr="00136DBB">
        <w:trPr>
          <w:trHeight w:val="249"/>
        </w:trPr>
        <w:tc>
          <w:tcPr>
            <w:tcW w:w="9020" w:type="dxa"/>
            <w:tcBorders>
              <w:top w:val="single" w:sz="4" w:space="0" w:color="auto"/>
              <w:left w:val="nil"/>
              <w:bottom w:val="nil"/>
              <w:right w:val="nil"/>
            </w:tcBorders>
            <w:shd w:val="clear" w:color="auto" w:fill="auto"/>
            <w:vAlign w:val="center"/>
          </w:tcPr>
          <w:p w14:paraId="5D53396E" w14:textId="77777777" w:rsidR="00F74D6C" w:rsidRPr="00F017C3" w:rsidRDefault="00F74D6C" w:rsidP="00DB2A48">
            <w:pPr>
              <w:jc w:val="center"/>
              <w:rPr>
                <w:color w:val="000000"/>
                <w:sz w:val="21"/>
                <w:szCs w:val="21"/>
              </w:rPr>
            </w:pPr>
          </w:p>
        </w:tc>
      </w:tr>
      <w:tr w:rsidR="00F74D6C" w:rsidRPr="00F017C3" w14:paraId="54F9B5F4" w14:textId="77777777" w:rsidTr="00136DBB">
        <w:trPr>
          <w:trHeight w:val="249"/>
        </w:trPr>
        <w:tc>
          <w:tcPr>
            <w:tcW w:w="9020" w:type="dxa"/>
            <w:tcBorders>
              <w:top w:val="nil"/>
              <w:left w:val="nil"/>
              <w:bottom w:val="nil"/>
              <w:right w:val="nil"/>
            </w:tcBorders>
            <w:shd w:val="clear" w:color="auto" w:fill="auto"/>
            <w:vAlign w:val="center"/>
          </w:tcPr>
          <w:p w14:paraId="120B7C0A"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 xml:space="preserve">Accounting Today. (2002). </w:t>
            </w:r>
            <w:r w:rsidRPr="002B31FC">
              <w:rPr>
                <w:i/>
                <w:iCs/>
                <w:sz w:val="21"/>
                <w:szCs w:val="21"/>
              </w:rPr>
              <w:t>PwC 2002 Revenues Flat</w:t>
            </w:r>
            <w:r w:rsidRPr="002B31FC">
              <w:rPr>
                <w:sz w:val="21"/>
                <w:szCs w:val="21"/>
              </w:rPr>
              <w:t>. Accounting Today. https://www.accountingtoday.com/news/pwc-2002-revenues-flat</w:t>
            </w:r>
          </w:p>
          <w:p w14:paraId="5DA24028"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 xml:space="preserve">Accounting Today. (2007). </w:t>
            </w:r>
            <w:r w:rsidRPr="002B31FC">
              <w:rPr>
                <w:i/>
                <w:iCs/>
                <w:sz w:val="21"/>
                <w:szCs w:val="21"/>
              </w:rPr>
              <w:t xml:space="preserve">PwC 2007 revenues </w:t>
            </w:r>
            <w:proofErr w:type="gramStart"/>
            <w:r w:rsidRPr="002B31FC">
              <w:rPr>
                <w:i/>
                <w:iCs/>
                <w:sz w:val="21"/>
                <w:szCs w:val="21"/>
              </w:rPr>
              <w:t>rises</w:t>
            </w:r>
            <w:proofErr w:type="gramEnd"/>
            <w:r w:rsidRPr="002B31FC">
              <w:rPr>
                <w:i/>
                <w:iCs/>
                <w:sz w:val="21"/>
                <w:szCs w:val="21"/>
              </w:rPr>
              <w:t xml:space="preserve"> to $25.2 billion</w:t>
            </w:r>
            <w:r w:rsidRPr="002B31FC">
              <w:rPr>
                <w:sz w:val="21"/>
                <w:szCs w:val="21"/>
              </w:rPr>
              <w:t>. The Consultancy Group. http://www.theconsultancygroup.nl/nieuws/pwc-2007-revenues-rises-to-252-billion</w:t>
            </w:r>
          </w:p>
          <w:p w14:paraId="34842509"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 xml:space="preserve">Bryan, C. (2004). </w:t>
            </w:r>
            <w:r w:rsidRPr="002B31FC">
              <w:rPr>
                <w:i/>
                <w:iCs/>
                <w:sz w:val="21"/>
                <w:szCs w:val="21"/>
              </w:rPr>
              <w:t>KPMG International Saw Revenue Rise 13% in Year</w:t>
            </w:r>
            <w:r w:rsidRPr="002B31FC">
              <w:rPr>
                <w:sz w:val="21"/>
                <w:szCs w:val="21"/>
              </w:rPr>
              <w:t>. The Wall Street Journal. https://www.wsj.com/articles/SB107455199609805684</w:t>
            </w:r>
          </w:p>
          <w:p w14:paraId="4C8D9054" w14:textId="77777777" w:rsidR="00F74D6C" w:rsidRPr="002B31FC" w:rsidRDefault="00F74D6C" w:rsidP="00F74D6C">
            <w:pPr>
              <w:pStyle w:val="ListParagraph"/>
              <w:numPr>
                <w:ilvl w:val="0"/>
                <w:numId w:val="34"/>
              </w:numPr>
              <w:ind w:left="426"/>
              <w:jc w:val="both"/>
              <w:rPr>
                <w:sz w:val="21"/>
                <w:szCs w:val="21"/>
              </w:rPr>
            </w:pPr>
            <w:proofErr w:type="spellStart"/>
            <w:r w:rsidRPr="002B31FC">
              <w:rPr>
                <w:sz w:val="21"/>
                <w:szCs w:val="21"/>
              </w:rPr>
              <w:t>BusinessWire</w:t>
            </w:r>
            <w:proofErr w:type="spellEnd"/>
            <w:r w:rsidRPr="002B31FC">
              <w:rPr>
                <w:sz w:val="21"/>
                <w:szCs w:val="21"/>
              </w:rPr>
              <w:t xml:space="preserve">. (2003). </w:t>
            </w:r>
            <w:r w:rsidRPr="002B31FC">
              <w:rPr>
                <w:i/>
                <w:iCs/>
                <w:sz w:val="21"/>
                <w:szCs w:val="21"/>
              </w:rPr>
              <w:t>Ernst &amp; Young Fiscal Year 2003 Global Revenues Exceed US$13 Billion; James S. Turley Assumes Role as Global CEO</w:t>
            </w:r>
            <w:r w:rsidRPr="002B31FC">
              <w:rPr>
                <w:sz w:val="21"/>
                <w:szCs w:val="21"/>
              </w:rPr>
              <w:t xml:space="preserve"> (p. 4). </w:t>
            </w:r>
            <w:proofErr w:type="spellStart"/>
            <w:r w:rsidRPr="002B31FC">
              <w:rPr>
                <w:sz w:val="21"/>
                <w:szCs w:val="21"/>
              </w:rPr>
              <w:t>BusinessWire</w:t>
            </w:r>
            <w:proofErr w:type="spellEnd"/>
            <w:r w:rsidRPr="002B31FC">
              <w:rPr>
                <w:sz w:val="21"/>
                <w:szCs w:val="21"/>
              </w:rPr>
              <w:t>. https://www.businesswire.com/news/home/20031010005191/en/Er</w:t>
            </w:r>
          </w:p>
          <w:p w14:paraId="6DE6B9FC" w14:textId="77777777" w:rsidR="00F74D6C" w:rsidRPr="002B31FC" w:rsidRDefault="00F74D6C" w:rsidP="00F74D6C">
            <w:pPr>
              <w:pStyle w:val="ListParagraph"/>
              <w:numPr>
                <w:ilvl w:val="0"/>
                <w:numId w:val="34"/>
              </w:numPr>
              <w:ind w:left="426"/>
              <w:jc w:val="both"/>
              <w:rPr>
                <w:sz w:val="21"/>
                <w:szCs w:val="21"/>
              </w:rPr>
            </w:pPr>
            <w:proofErr w:type="spellStart"/>
            <w:r w:rsidRPr="002B31FC">
              <w:rPr>
                <w:sz w:val="21"/>
                <w:szCs w:val="21"/>
              </w:rPr>
              <w:t>BusinessWire</w:t>
            </w:r>
            <w:proofErr w:type="spellEnd"/>
            <w:r w:rsidRPr="002B31FC">
              <w:rPr>
                <w:sz w:val="21"/>
                <w:szCs w:val="21"/>
              </w:rPr>
              <w:t xml:space="preserve">. (2005). </w:t>
            </w:r>
            <w:r w:rsidRPr="002B31FC">
              <w:rPr>
                <w:i/>
                <w:iCs/>
                <w:sz w:val="21"/>
                <w:szCs w:val="21"/>
              </w:rPr>
              <w:t xml:space="preserve">Ernst &amp; Young Year 2005 Global Revenues Approach US$17 Billion; Strong </w:t>
            </w:r>
            <w:proofErr w:type="gramStart"/>
            <w:r w:rsidRPr="002B31FC">
              <w:rPr>
                <w:i/>
                <w:iCs/>
                <w:sz w:val="21"/>
                <w:szCs w:val="21"/>
              </w:rPr>
              <w:t>Double Digit</w:t>
            </w:r>
            <w:proofErr w:type="gramEnd"/>
            <w:r w:rsidRPr="002B31FC">
              <w:rPr>
                <w:i/>
                <w:iCs/>
                <w:sz w:val="21"/>
                <w:szCs w:val="21"/>
              </w:rPr>
              <w:t xml:space="preserve"> Growth Achieved Across All Global Areas</w:t>
            </w:r>
            <w:r w:rsidRPr="002B31FC">
              <w:rPr>
                <w:sz w:val="21"/>
                <w:szCs w:val="21"/>
              </w:rPr>
              <w:t xml:space="preserve"> (p. 6). </w:t>
            </w:r>
            <w:proofErr w:type="spellStart"/>
            <w:r w:rsidRPr="002B31FC">
              <w:rPr>
                <w:sz w:val="21"/>
                <w:szCs w:val="21"/>
              </w:rPr>
              <w:t>BusinessWire</w:t>
            </w:r>
            <w:proofErr w:type="spellEnd"/>
            <w:r w:rsidRPr="002B31FC">
              <w:rPr>
                <w:sz w:val="21"/>
                <w:szCs w:val="21"/>
              </w:rPr>
              <w:t>. https://www.businesswire.com/news/home/20050929005011/en/Er</w:t>
            </w:r>
          </w:p>
          <w:p w14:paraId="4779DFB9" w14:textId="77777777" w:rsidR="00F74D6C" w:rsidRPr="002B31FC" w:rsidRDefault="00F74D6C" w:rsidP="00F74D6C">
            <w:pPr>
              <w:pStyle w:val="ListParagraph"/>
              <w:numPr>
                <w:ilvl w:val="0"/>
                <w:numId w:val="34"/>
              </w:numPr>
              <w:ind w:left="426"/>
              <w:jc w:val="both"/>
              <w:rPr>
                <w:sz w:val="21"/>
                <w:szCs w:val="21"/>
              </w:rPr>
            </w:pPr>
            <w:proofErr w:type="spellStart"/>
            <w:r w:rsidRPr="002B31FC">
              <w:rPr>
                <w:sz w:val="21"/>
                <w:szCs w:val="21"/>
              </w:rPr>
              <w:t>BusinessWire</w:t>
            </w:r>
            <w:proofErr w:type="spellEnd"/>
            <w:r w:rsidRPr="002B31FC">
              <w:rPr>
                <w:sz w:val="21"/>
                <w:szCs w:val="21"/>
              </w:rPr>
              <w:t xml:space="preserve">. (2009). </w:t>
            </w:r>
            <w:r w:rsidRPr="002B31FC">
              <w:rPr>
                <w:i/>
                <w:iCs/>
                <w:sz w:val="21"/>
                <w:szCs w:val="21"/>
              </w:rPr>
              <w:t>Ernst &amp; Young Reports Fiscal Year 2009 Global Revenues of US$21.4 Billion</w:t>
            </w:r>
            <w:r w:rsidRPr="002B31FC">
              <w:rPr>
                <w:sz w:val="21"/>
                <w:szCs w:val="21"/>
              </w:rPr>
              <w:t xml:space="preserve"> (p. 3). </w:t>
            </w:r>
            <w:proofErr w:type="spellStart"/>
            <w:r w:rsidRPr="002B31FC">
              <w:rPr>
                <w:sz w:val="21"/>
                <w:szCs w:val="21"/>
              </w:rPr>
              <w:t>BusinessWire</w:t>
            </w:r>
            <w:proofErr w:type="spellEnd"/>
            <w:r w:rsidRPr="002B31FC">
              <w:rPr>
                <w:sz w:val="21"/>
                <w:szCs w:val="21"/>
              </w:rPr>
              <w:t xml:space="preserve">. </w:t>
            </w:r>
            <w:hyperlink r:id="rId18" w:history="1">
              <w:r w:rsidRPr="002B31FC">
                <w:rPr>
                  <w:rStyle w:val="Hyperlink"/>
                  <w:sz w:val="21"/>
                  <w:szCs w:val="21"/>
                </w:rPr>
                <w:t>https://www.businesswire.com/news/home/20090930005092/en/Er</w:t>
              </w:r>
            </w:hyperlink>
          </w:p>
          <w:p w14:paraId="29889AB1" w14:textId="77777777" w:rsidR="00F74D6C" w:rsidRPr="002B31FC" w:rsidRDefault="00F74D6C" w:rsidP="00F74D6C">
            <w:pPr>
              <w:pStyle w:val="ListParagraph"/>
              <w:numPr>
                <w:ilvl w:val="0"/>
                <w:numId w:val="34"/>
              </w:numPr>
              <w:ind w:left="426"/>
              <w:jc w:val="both"/>
              <w:rPr>
                <w:sz w:val="21"/>
                <w:szCs w:val="21"/>
              </w:rPr>
            </w:pPr>
            <w:proofErr w:type="spellStart"/>
            <w:r w:rsidRPr="002B31FC">
              <w:rPr>
                <w:sz w:val="21"/>
                <w:szCs w:val="21"/>
              </w:rPr>
              <w:t>BusinessWire</w:t>
            </w:r>
            <w:proofErr w:type="spellEnd"/>
            <w:r w:rsidRPr="002B31FC">
              <w:rPr>
                <w:sz w:val="21"/>
                <w:szCs w:val="21"/>
              </w:rPr>
              <w:t xml:space="preserve">. (2012). </w:t>
            </w:r>
            <w:r w:rsidRPr="002B31FC">
              <w:rPr>
                <w:i/>
                <w:iCs/>
                <w:sz w:val="21"/>
                <w:szCs w:val="21"/>
              </w:rPr>
              <w:t>Ernst &amp; Young reports 2012 global revenues of US$24.4 billion</w:t>
            </w:r>
            <w:r w:rsidRPr="002B31FC">
              <w:rPr>
                <w:sz w:val="21"/>
                <w:szCs w:val="21"/>
              </w:rPr>
              <w:t xml:space="preserve"> (p. 3). </w:t>
            </w:r>
            <w:proofErr w:type="spellStart"/>
            <w:r w:rsidRPr="002B31FC">
              <w:rPr>
                <w:sz w:val="21"/>
                <w:szCs w:val="21"/>
              </w:rPr>
              <w:t>BusinessWire</w:t>
            </w:r>
            <w:proofErr w:type="spellEnd"/>
            <w:r w:rsidRPr="002B31FC">
              <w:rPr>
                <w:sz w:val="21"/>
                <w:szCs w:val="21"/>
              </w:rPr>
              <w:t>. https://www.businesswire.com/news/home/20121001006398/en/Er</w:t>
            </w:r>
          </w:p>
          <w:p w14:paraId="78A35403"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 xml:space="preserve">CBR. (2001). </w:t>
            </w:r>
            <w:r w:rsidRPr="002B31FC">
              <w:rPr>
                <w:i/>
                <w:iCs/>
                <w:sz w:val="21"/>
                <w:szCs w:val="21"/>
              </w:rPr>
              <w:t>KPMG International Reports Record Revenues of US$11.7 Billion</w:t>
            </w:r>
            <w:r w:rsidRPr="002B31FC">
              <w:rPr>
                <w:sz w:val="21"/>
                <w:szCs w:val="21"/>
              </w:rPr>
              <w:t>. Computer Business Review. https://www.cbronline.com/uncategorised/kpmg_international_reports_record_revenues_of_us117_billion/</w:t>
            </w:r>
          </w:p>
          <w:p w14:paraId="2CDADD85"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 xml:space="preserve">Cruz, N. E. (2014). International Accounting Firms: The Big. </w:t>
            </w:r>
            <w:r w:rsidRPr="002B31FC">
              <w:rPr>
                <w:i/>
                <w:iCs/>
                <w:sz w:val="21"/>
                <w:szCs w:val="21"/>
              </w:rPr>
              <w:t>Inter Metro Business Journal</w:t>
            </w:r>
            <w:r w:rsidRPr="002B31FC">
              <w:rPr>
                <w:sz w:val="21"/>
                <w:szCs w:val="21"/>
              </w:rPr>
              <w:t xml:space="preserve">, </w:t>
            </w:r>
            <w:r w:rsidRPr="002B31FC">
              <w:rPr>
                <w:i/>
                <w:iCs/>
                <w:sz w:val="21"/>
                <w:szCs w:val="21"/>
              </w:rPr>
              <w:t>10</w:t>
            </w:r>
            <w:r w:rsidRPr="002B31FC">
              <w:rPr>
                <w:sz w:val="21"/>
                <w:szCs w:val="21"/>
              </w:rPr>
              <w:t>(10), 1–14.</w:t>
            </w:r>
          </w:p>
          <w:p w14:paraId="6370F67B"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lastRenderedPageBreak/>
              <w:t>Deering S (2015) Who Are the World’s Most Attractive Employers in 2015? Available at: https://theundercoverrecruiter.com/worlds-most-attractive-employers/ (accessed 28 September 2021).</w:t>
            </w:r>
          </w:p>
          <w:p w14:paraId="7FACAB3D"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 xml:space="preserve">PRNewswire. (2014). </w:t>
            </w:r>
            <w:r w:rsidRPr="002B31FC">
              <w:rPr>
                <w:i/>
                <w:iCs/>
                <w:sz w:val="21"/>
                <w:szCs w:val="21"/>
              </w:rPr>
              <w:t>EY reports 2014 global revenues of US$27.4 b</w:t>
            </w:r>
            <w:r w:rsidRPr="002B31FC">
              <w:rPr>
                <w:sz w:val="21"/>
                <w:szCs w:val="21"/>
              </w:rPr>
              <w:t xml:space="preserve"> (p. 6). PRNewswire. https://www.prnewswire.com/news-releases/ey-reports-2014-globa</w:t>
            </w:r>
          </w:p>
          <w:p w14:paraId="1E324C35"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 xml:space="preserve">The Consultancy Group. (2007). </w:t>
            </w:r>
            <w:r w:rsidRPr="002B31FC">
              <w:rPr>
                <w:i/>
                <w:iCs/>
                <w:sz w:val="21"/>
                <w:szCs w:val="21"/>
              </w:rPr>
              <w:t>KPMG 2007 global revenues now $19.8 Billion</w:t>
            </w:r>
            <w:r w:rsidRPr="002B31FC">
              <w:rPr>
                <w:sz w:val="21"/>
                <w:szCs w:val="21"/>
              </w:rPr>
              <w:t>. The Consultancy Group. http://www.theconsultancygroup.nl/nieuws/kpmg-2007-global-revenues-now-198-billion</w:t>
            </w:r>
          </w:p>
          <w:p w14:paraId="0AA24946"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 xml:space="preserve">The Irish Times. (2004, January 20). </w:t>
            </w:r>
            <w:r w:rsidRPr="002B31FC">
              <w:rPr>
                <w:i/>
                <w:iCs/>
                <w:sz w:val="21"/>
                <w:szCs w:val="21"/>
              </w:rPr>
              <w:t>Revenues of $12.2m put KPMG fourth</w:t>
            </w:r>
            <w:r w:rsidRPr="002B31FC">
              <w:rPr>
                <w:sz w:val="21"/>
                <w:szCs w:val="21"/>
              </w:rPr>
              <w:t>. The Irish Times. https://www.irishtimes.com/business/revenues-of-12-2m-put-kpmg-fourth-1.1130718</w:t>
            </w:r>
          </w:p>
          <w:p w14:paraId="0EE1C8DE"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 xml:space="preserve">Universum (2010) Big 4 challenge Google’s position as the world’s most attractive employer 2010. Stockholm: Universum Communications. Available at: https://www.rankingthebrands.com/PDF/Universum The </w:t>
            </w:r>
            <w:proofErr w:type="spellStart"/>
            <w:r w:rsidRPr="002B31FC">
              <w:rPr>
                <w:sz w:val="21"/>
                <w:szCs w:val="21"/>
              </w:rPr>
              <w:t>Worlds</w:t>
            </w:r>
            <w:proofErr w:type="spellEnd"/>
            <w:r w:rsidRPr="002B31FC">
              <w:rPr>
                <w:sz w:val="21"/>
                <w:szCs w:val="21"/>
              </w:rPr>
              <w:t xml:space="preserve"> Most Attractive Employers 2010.pdf.</w:t>
            </w:r>
          </w:p>
          <w:p w14:paraId="06E3963D"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 xml:space="preserve">Universum (2011) Google is the </w:t>
            </w:r>
            <w:proofErr w:type="spellStart"/>
            <w:r w:rsidRPr="002B31FC">
              <w:rPr>
                <w:sz w:val="21"/>
                <w:szCs w:val="21"/>
              </w:rPr>
              <w:t>Worl’s</w:t>
            </w:r>
            <w:proofErr w:type="spellEnd"/>
            <w:r w:rsidRPr="002B31FC">
              <w:rPr>
                <w:sz w:val="21"/>
                <w:szCs w:val="21"/>
              </w:rPr>
              <w:t xml:space="preserve"> Most Attractive Employer. Stockholm: Universum Communications. Available at: https://www.rankingthebrands.com/PDF/Universum The </w:t>
            </w:r>
            <w:proofErr w:type="spellStart"/>
            <w:r w:rsidRPr="002B31FC">
              <w:rPr>
                <w:sz w:val="21"/>
                <w:szCs w:val="21"/>
              </w:rPr>
              <w:t>Worlds</w:t>
            </w:r>
            <w:proofErr w:type="spellEnd"/>
            <w:r w:rsidRPr="002B31FC">
              <w:rPr>
                <w:sz w:val="21"/>
                <w:szCs w:val="21"/>
              </w:rPr>
              <w:t xml:space="preserve"> Most Attractive Employers 2011.pdf.</w:t>
            </w:r>
          </w:p>
          <w:p w14:paraId="64074E5E"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 xml:space="preserve">Universum (2012) Google is the World’s Most Attractive Employer. Stockholm: Universum Communications. Available at: https://www.rankingthebrands.com/PDF/Universum The </w:t>
            </w:r>
            <w:proofErr w:type="spellStart"/>
            <w:r w:rsidRPr="002B31FC">
              <w:rPr>
                <w:sz w:val="21"/>
                <w:szCs w:val="21"/>
              </w:rPr>
              <w:t>Worlds</w:t>
            </w:r>
            <w:proofErr w:type="spellEnd"/>
            <w:r w:rsidRPr="002B31FC">
              <w:rPr>
                <w:sz w:val="21"/>
                <w:szCs w:val="21"/>
              </w:rPr>
              <w:t xml:space="preserve"> Most Attractive Employers 2012.pdf.</w:t>
            </w:r>
          </w:p>
          <w:p w14:paraId="07564C6F"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 xml:space="preserve">Universum (2013) The World’s Most Attractive Employers 2013 Changing global student preferences lead to shifts among top employers. Stockholm: Universum Communications. Available at: https://www.rankingthebrands.com/PDF/Universum The </w:t>
            </w:r>
            <w:proofErr w:type="spellStart"/>
            <w:r w:rsidRPr="002B31FC">
              <w:rPr>
                <w:sz w:val="21"/>
                <w:szCs w:val="21"/>
              </w:rPr>
              <w:t>Worlds</w:t>
            </w:r>
            <w:proofErr w:type="spellEnd"/>
            <w:r w:rsidRPr="002B31FC">
              <w:rPr>
                <w:sz w:val="21"/>
                <w:szCs w:val="21"/>
              </w:rPr>
              <w:t xml:space="preserve"> Most Attractive Employers 2013.pdf.</w:t>
            </w:r>
          </w:p>
          <w:p w14:paraId="14BF0177"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Universum (2014) The World’s Top 50 Most Attractive Employers 2014. Stockholm: Universum Communications.</w:t>
            </w:r>
          </w:p>
          <w:p w14:paraId="7EA7DC1D"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Universum (2016) World’s Most Attractive Employers 2016. Stockholm: Universum Communications.</w:t>
            </w:r>
          </w:p>
          <w:p w14:paraId="08B432FC"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Universum (2017) World’s Most Attractive Employers 2017. Stockholm: Universum Communications.</w:t>
            </w:r>
          </w:p>
          <w:p w14:paraId="04149723"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Universum (2018) World’s Most Attractive Employers 2018. Stockholm.</w:t>
            </w:r>
          </w:p>
          <w:p w14:paraId="24F6C5ED" w14:textId="77777777" w:rsidR="00F74D6C" w:rsidRPr="002B31FC" w:rsidRDefault="00F74D6C" w:rsidP="00F74D6C">
            <w:pPr>
              <w:pStyle w:val="ListParagraph"/>
              <w:numPr>
                <w:ilvl w:val="0"/>
                <w:numId w:val="34"/>
              </w:numPr>
              <w:ind w:left="426"/>
              <w:jc w:val="both"/>
              <w:rPr>
                <w:sz w:val="21"/>
                <w:szCs w:val="21"/>
              </w:rPr>
            </w:pPr>
            <w:r w:rsidRPr="002B31FC">
              <w:rPr>
                <w:sz w:val="21"/>
                <w:szCs w:val="21"/>
              </w:rPr>
              <w:t>Universum (2019) World’s Most Attractive Employers 2019. Stockholm: Universum Communications.</w:t>
            </w:r>
          </w:p>
          <w:p w14:paraId="02A05BBC" w14:textId="77777777" w:rsidR="00275610" w:rsidRDefault="00F74D6C" w:rsidP="00275610">
            <w:pPr>
              <w:pStyle w:val="ListParagraph"/>
              <w:numPr>
                <w:ilvl w:val="0"/>
                <w:numId w:val="34"/>
              </w:numPr>
              <w:ind w:left="426"/>
              <w:jc w:val="both"/>
              <w:rPr>
                <w:sz w:val="21"/>
                <w:szCs w:val="21"/>
              </w:rPr>
            </w:pPr>
            <w:r w:rsidRPr="002B31FC">
              <w:rPr>
                <w:sz w:val="21"/>
                <w:szCs w:val="21"/>
              </w:rPr>
              <w:t>Universum (2020) World’s Most Attractive Employers 2020. Stockholm: Universum Communications.</w:t>
            </w:r>
          </w:p>
          <w:p w14:paraId="7772C28B" w14:textId="77777777" w:rsidR="00275610" w:rsidRDefault="00275610" w:rsidP="00275610">
            <w:pPr>
              <w:pStyle w:val="ListParagraph"/>
              <w:numPr>
                <w:ilvl w:val="0"/>
                <w:numId w:val="34"/>
              </w:numPr>
              <w:ind w:left="426"/>
              <w:jc w:val="both"/>
              <w:rPr>
                <w:sz w:val="21"/>
                <w:szCs w:val="21"/>
              </w:rPr>
            </w:pPr>
            <w:r w:rsidRPr="00275610">
              <w:rPr>
                <w:sz w:val="21"/>
                <w:szCs w:val="21"/>
              </w:rPr>
              <w:t xml:space="preserve">Thomas, P. (2021). </w:t>
            </w:r>
            <w:r w:rsidRPr="00275610">
              <w:rPr>
                <w:i/>
                <w:iCs/>
                <w:sz w:val="21"/>
                <w:szCs w:val="21"/>
              </w:rPr>
              <w:t>Big Employers of Business-School Grads Are Customizing the Degrees</w:t>
            </w:r>
            <w:r w:rsidRPr="00275610">
              <w:rPr>
                <w:sz w:val="21"/>
                <w:szCs w:val="21"/>
              </w:rPr>
              <w:t xml:space="preserve">. Wall Street Journal. </w:t>
            </w:r>
            <w:hyperlink r:id="rId19" w:history="1">
              <w:r w:rsidRPr="00275610">
                <w:rPr>
                  <w:rStyle w:val="Hyperlink"/>
                  <w:sz w:val="21"/>
                  <w:szCs w:val="21"/>
                </w:rPr>
                <w:t>https://www.wsj.com/articles/big-employers-of-business-schoolgrads-are-customizing-the-degrees-11614767401</w:t>
              </w:r>
            </w:hyperlink>
          </w:p>
          <w:p w14:paraId="030EA22B" w14:textId="77777777" w:rsidR="00275610" w:rsidRDefault="00275610" w:rsidP="00275610">
            <w:pPr>
              <w:pStyle w:val="ListParagraph"/>
              <w:numPr>
                <w:ilvl w:val="0"/>
                <w:numId w:val="34"/>
              </w:numPr>
              <w:ind w:left="426"/>
              <w:jc w:val="both"/>
              <w:rPr>
                <w:sz w:val="21"/>
                <w:szCs w:val="21"/>
              </w:rPr>
            </w:pPr>
            <w:r w:rsidRPr="00275610">
              <w:rPr>
                <w:sz w:val="21"/>
                <w:szCs w:val="21"/>
              </w:rPr>
              <w:t xml:space="preserve">The Economist. (2021). Loss of </w:t>
            </w:r>
            <w:proofErr w:type="spellStart"/>
            <w:r w:rsidRPr="00275610">
              <w:rPr>
                <w:sz w:val="21"/>
                <w:szCs w:val="21"/>
              </w:rPr>
              <w:t>Sneadership</w:t>
            </w:r>
            <w:proofErr w:type="spellEnd"/>
            <w:r w:rsidRPr="00275610">
              <w:rPr>
                <w:sz w:val="21"/>
                <w:szCs w:val="21"/>
              </w:rPr>
              <w:t xml:space="preserve"> - McKinsey casts off its managing partner. </w:t>
            </w:r>
            <w:r w:rsidRPr="00275610">
              <w:rPr>
                <w:i/>
                <w:iCs/>
                <w:sz w:val="21"/>
                <w:szCs w:val="21"/>
              </w:rPr>
              <w:t>The Economist</w:t>
            </w:r>
            <w:r w:rsidRPr="00275610">
              <w:rPr>
                <w:sz w:val="21"/>
                <w:szCs w:val="21"/>
              </w:rPr>
              <w:t xml:space="preserve">. </w:t>
            </w:r>
            <w:hyperlink r:id="rId20" w:history="1">
              <w:r w:rsidRPr="00275610">
                <w:rPr>
                  <w:rStyle w:val="Hyperlink"/>
                  <w:sz w:val="21"/>
                  <w:szCs w:val="21"/>
                </w:rPr>
                <w:t>https://www.economist.com/business/2021/02/27/mckinsey-casts-off-itsmanaging-Partner</w:t>
              </w:r>
            </w:hyperlink>
          </w:p>
          <w:p w14:paraId="0D8886F9" w14:textId="77777777" w:rsidR="00275610" w:rsidRPr="00275610" w:rsidRDefault="00275610" w:rsidP="00275610">
            <w:pPr>
              <w:pStyle w:val="ListParagraph"/>
              <w:numPr>
                <w:ilvl w:val="0"/>
                <w:numId w:val="34"/>
              </w:numPr>
              <w:ind w:left="426"/>
              <w:jc w:val="both"/>
              <w:rPr>
                <w:sz w:val="21"/>
                <w:szCs w:val="21"/>
              </w:rPr>
            </w:pPr>
            <w:r w:rsidRPr="00275610">
              <w:rPr>
                <w:color w:val="000000" w:themeColor="text1"/>
                <w:sz w:val="21"/>
                <w:szCs w:val="21"/>
              </w:rPr>
              <w:t>CEO. (2018). Accounting for Influence: How the Big Four are Embedded in EU Policy-Making on Tax Avoidance.</w:t>
            </w:r>
          </w:p>
          <w:p w14:paraId="2774697B" w14:textId="77777777" w:rsidR="00275610" w:rsidRPr="00275610" w:rsidRDefault="00275610" w:rsidP="00275610">
            <w:pPr>
              <w:pStyle w:val="ListParagraph"/>
              <w:numPr>
                <w:ilvl w:val="0"/>
                <w:numId w:val="34"/>
              </w:numPr>
              <w:ind w:left="426"/>
              <w:jc w:val="both"/>
              <w:rPr>
                <w:sz w:val="21"/>
                <w:szCs w:val="21"/>
              </w:rPr>
            </w:pPr>
            <w:r w:rsidRPr="00275610">
              <w:rPr>
                <w:color w:val="000000" w:themeColor="text1"/>
                <w:sz w:val="21"/>
                <w:szCs w:val="21"/>
              </w:rPr>
              <w:t xml:space="preserve">Forbes. (2021). The World’s Most Valuable Brands List. </w:t>
            </w:r>
            <w:r w:rsidRPr="00275610">
              <w:rPr>
                <w:color w:val="000000" w:themeColor="text1"/>
                <w:sz w:val="21"/>
                <w:szCs w:val="21"/>
                <w:lang w:val="de-DE"/>
              </w:rPr>
              <w:t xml:space="preserve">Forbes. </w:t>
            </w:r>
            <w:hyperlink r:id="rId21" w:history="1">
              <w:r w:rsidRPr="00275610">
                <w:rPr>
                  <w:rStyle w:val="Hyperlink"/>
                  <w:sz w:val="21"/>
                  <w:szCs w:val="21"/>
                  <w:lang w:val="de-DE"/>
                </w:rPr>
                <w:t>https://www.forbes.com/powerful-brands/list/3/</w:t>
              </w:r>
            </w:hyperlink>
          </w:p>
          <w:p w14:paraId="6E9DABB7" w14:textId="77777777" w:rsidR="00443F8D" w:rsidRPr="00443F8D" w:rsidRDefault="00275610" w:rsidP="00443F8D">
            <w:pPr>
              <w:pStyle w:val="ListParagraph"/>
              <w:numPr>
                <w:ilvl w:val="0"/>
                <w:numId w:val="34"/>
              </w:numPr>
              <w:ind w:left="426"/>
              <w:jc w:val="both"/>
              <w:rPr>
                <w:sz w:val="21"/>
                <w:szCs w:val="21"/>
              </w:rPr>
            </w:pPr>
            <w:r w:rsidRPr="00275610">
              <w:rPr>
                <w:color w:val="000000" w:themeColor="text1"/>
                <w:sz w:val="21"/>
                <w:szCs w:val="21"/>
                <w:lang w:val="de-DE"/>
              </w:rPr>
              <w:t xml:space="preserve">Thomson Reuters. </w:t>
            </w:r>
            <w:r w:rsidRPr="00275610">
              <w:rPr>
                <w:color w:val="000000" w:themeColor="text1"/>
                <w:sz w:val="21"/>
                <w:szCs w:val="21"/>
              </w:rPr>
              <w:t xml:space="preserve">(2021). Big Four, AIPCA Lobbying Includes FASB Independence, PCAOB Enforcement Transparency. Tax &amp; Accounting. </w:t>
            </w:r>
            <w:hyperlink r:id="rId22" w:history="1">
              <w:r w:rsidR="00443F8D" w:rsidRPr="00C5205E">
                <w:rPr>
                  <w:rStyle w:val="Hyperlink"/>
                  <w:sz w:val="21"/>
                  <w:szCs w:val="21"/>
                </w:rPr>
                <w:t>https://tax.thomsonreuters.com/news/big-four-aipca-lobbying-includes-fasb-independence-pcaob-enforcement-transparency/</w:t>
              </w:r>
            </w:hyperlink>
          </w:p>
          <w:p w14:paraId="6485EAC6" w14:textId="77777777" w:rsidR="00443F8D" w:rsidRDefault="00443F8D" w:rsidP="00B36689">
            <w:pPr>
              <w:pStyle w:val="ListParagraph"/>
              <w:numPr>
                <w:ilvl w:val="0"/>
                <w:numId w:val="34"/>
              </w:numPr>
              <w:autoSpaceDE w:val="0"/>
              <w:autoSpaceDN w:val="0"/>
              <w:adjustRightInd w:val="0"/>
              <w:ind w:left="426"/>
              <w:jc w:val="both"/>
              <w:rPr>
                <w:sz w:val="21"/>
                <w:szCs w:val="21"/>
              </w:rPr>
            </w:pPr>
            <w:r w:rsidRPr="00443F8D">
              <w:rPr>
                <w:sz w:val="21"/>
                <w:szCs w:val="21"/>
              </w:rPr>
              <w:t xml:space="preserve">Plimmer, G. (2019, January 29). Brexit drives 20% rise in government spending on big consultancies. Financial Times. </w:t>
            </w:r>
            <w:hyperlink r:id="rId23" w:history="1">
              <w:r w:rsidRPr="00443F8D">
                <w:rPr>
                  <w:rStyle w:val="Hyperlink"/>
                  <w:sz w:val="21"/>
                  <w:szCs w:val="21"/>
                </w:rPr>
                <w:t>https://www.ft.com/content/636d7f58-3397-11ea-a329-0bcf87a328f2</w:t>
              </w:r>
            </w:hyperlink>
          </w:p>
          <w:p w14:paraId="2332DBB9" w14:textId="77777777" w:rsidR="00443F8D" w:rsidRDefault="00443F8D" w:rsidP="0002449A">
            <w:pPr>
              <w:pStyle w:val="ListParagraph"/>
              <w:numPr>
                <w:ilvl w:val="0"/>
                <w:numId w:val="34"/>
              </w:numPr>
              <w:autoSpaceDE w:val="0"/>
              <w:autoSpaceDN w:val="0"/>
              <w:adjustRightInd w:val="0"/>
              <w:ind w:left="426"/>
              <w:jc w:val="both"/>
              <w:rPr>
                <w:sz w:val="21"/>
                <w:szCs w:val="21"/>
              </w:rPr>
            </w:pPr>
            <w:r w:rsidRPr="00443F8D">
              <w:rPr>
                <w:sz w:val="21"/>
                <w:szCs w:val="21"/>
              </w:rPr>
              <w:t xml:space="preserve">Luxembourg Times. (2017, February 13). Mossack Fonseca closes Luxembourg office days before bosses arrested. Luxembourg Times. </w:t>
            </w:r>
            <w:hyperlink r:id="rId24" w:history="1">
              <w:r w:rsidRPr="00443F8D">
                <w:rPr>
                  <w:rStyle w:val="Hyperlink"/>
                  <w:sz w:val="21"/>
                  <w:szCs w:val="21"/>
                </w:rPr>
                <w:t>https://luxtimes.lu/archives/3249-mossackfonseca-closes-luxembourg-office-days-before-bosses-arrested</w:t>
              </w:r>
            </w:hyperlink>
          </w:p>
          <w:p w14:paraId="37E326BE" w14:textId="77777777" w:rsidR="00443F8D" w:rsidRDefault="00443F8D" w:rsidP="008D5222">
            <w:pPr>
              <w:pStyle w:val="ListParagraph"/>
              <w:numPr>
                <w:ilvl w:val="0"/>
                <w:numId w:val="34"/>
              </w:numPr>
              <w:autoSpaceDE w:val="0"/>
              <w:autoSpaceDN w:val="0"/>
              <w:adjustRightInd w:val="0"/>
              <w:ind w:left="426"/>
              <w:jc w:val="both"/>
              <w:rPr>
                <w:sz w:val="21"/>
                <w:szCs w:val="21"/>
              </w:rPr>
            </w:pPr>
            <w:r w:rsidRPr="00443F8D">
              <w:rPr>
                <w:sz w:val="21"/>
                <w:szCs w:val="21"/>
              </w:rPr>
              <w:t xml:space="preserve">Kinder, T. (2019, September 27). Big Four accountants facing changing times. Financial Times. </w:t>
            </w:r>
            <w:hyperlink r:id="rId25" w:history="1">
              <w:r w:rsidRPr="00443F8D">
                <w:rPr>
                  <w:rStyle w:val="Hyperlink"/>
                  <w:sz w:val="21"/>
                  <w:szCs w:val="21"/>
                </w:rPr>
                <w:t>https://www.ft.com/content/a7a6aa80-e137-11e9-9743-db5a370481bc</w:t>
              </w:r>
            </w:hyperlink>
          </w:p>
          <w:p w14:paraId="12E2134E" w14:textId="77777777" w:rsidR="00443F8D" w:rsidRDefault="00443F8D" w:rsidP="00FF02A8">
            <w:pPr>
              <w:pStyle w:val="ListParagraph"/>
              <w:numPr>
                <w:ilvl w:val="0"/>
                <w:numId w:val="34"/>
              </w:numPr>
              <w:autoSpaceDE w:val="0"/>
              <w:autoSpaceDN w:val="0"/>
              <w:adjustRightInd w:val="0"/>
              <w:ind w:left="426"/>
              <w:jc w:val="both"/>
              <w:rPr>
                <w:sz w:val="21"/>
                <w:szCs w:val="21"/>
              </w:rPr>
            </w:pPr>
            <w:r w:rsidRPr="00443F8D">
              <w:rPr>
                <w:sz w:val="21"/>
                <w:szCs w:val="21"/>
              </w:rPr>
              <w:t xml:space="preserve">Kinder, T. (2020a, January 29). Decision looms over Big Four consultancy and audit “conflict.” Financial Times. </w:t>
            </w:r>
            <w:hyperlink r:id="rId26" w:history="1">
              <w:r w:rsidRPr="00443F8D">
                <w:rPr>
                  <w:rStyle w:val="Hyperlink"/>
                  <w:sz w:val="21"/>
                  <w:szCs w:val="21"/>
                </w:rPr>
                <w:t>https://www.ft.com/content/dfd5703a-2363-11ea-b8a1-584213ee7b2b</w:t>
              </w:r>
            </w:hyperlink>
          </w:p>
          <w:p w14:paraId="38C092A0" w14:textId="7C22EF25" w:rsidR="00443F8D" w:rsidRPr="00443F8D" w:rsidRDefault="00443F8D" w:rsidP="00443F8D">
            <w:pPr>
              <w:pStyle w:val="ListParagraph"/>
              <w:numPr>
                <w:ilvl w:val="0"/>
                <w:numId w:val="34"/>
              </w:numPr>
              <w:autoSpaceDE w:val="0"/>
              <w:autoSpaceDN w:val="0"/>
              <w:adjustRightInd w:val="0"/>
              <w:ind w:left="426"/>
              <w:jc w:val="both"/>
              <w:rPr>
                <w:sz w:val="21"/>
                <w:szCs w:val="21"/>
              </w:rPr>
            </w:pPr>
            <w:r w:rsidRPr="00443F8D">
              <w:rPr>
                <w:sz w:val="21"/>
                <w:szCs w:val="21"/>
              </w:rPr>
              <w:lastRenderedPageBreak/>
              <w:t xml:space="preserve">Kinder, T. (2020b, August 31). UK spending on coronavirus consultants tops £100m. Financial Times. </w:t>
            </w:r>
            <w:hyperlink r:id="rId27" w:history="1">
              <w:r w:rsidRPr="00443F8D">
                <w:rPr>
                  <w:rStyle w:val="Hyperlink"/>
                  <w:sz w:val="21"/>
                  <w:szCs w:val="21"/>
                </w:rPr>
                <w:t>https://www.ft.com/content/f872960d-bb68-4b9b-a85b-be932bb62df7</w:t>
              </w:r>
            </w:hyperlink>
          </w:p>
          <w:p w14:paraId="2A13CF05" w14:textId="1B9D90F5" w:rsidR="00275610" w:rsidRPr="00275610" w:rsidRDefault="00275610" w:rsidP="00275610">
            <w:pPr>
              <w:rPr>
                <w:sz w:val="21"/>
                <w:szCs w:val="21"/>
              </w:rPr>
            </w:pPr>
          </w:p>
        </w:tc>
      </w:tr>
    </w:tbl>
    <w:p w14:paraId="1341E7C5" w14:textId="77777777" w:rsidR="00275610" w:rsidRDefault="00275610" w:rsidP="00443F8D">
      <w:pPr>
        <w:autoSpaceDE w:val="0"/>
        <w:autoSpaceDN w:val="0"/>
        <w:adjustRightInd w:val="0"/>
        <w:rPr>
          <w:sz w:val="21"/>
          <w:szCs w:val="21"/>
        </w:rPr>
      </w:pPr>
    </w:p>
    <w:p w14:paraId="5D1ECBED" w14:textId="77777777" w:rsidR="00275610" w:rsidRDefault="00275610" w:rsidP="00443F8D">
      <w:pPr>
        <w:autoSpaceDE w:val="0"/>
        <w:autoSpaceDN w:val="0"/>
        <w:adjustRightInd w:val="0"/>
        <w:rPr>
          <w:sz w:val="21"/>
          <w:szCs w:val="21"/>
        </w:rPr>
      </w:pPr>
    </w:p>
    <w:p w14:paraId="776B769C" w14:textId="4539E29D" w:rsidR="00443F8D" w:rsidRDefault="00443F8D" w:rsidP="00443F8D">
      <w:pPr>
        <w:autoSpaceDE w:val="0"/>
        <w:autoSpaceDN w:val="0"/>
        <w:adjustRightInd w:val="0"/>
        <w:rPr>
          <w:sz w:val="21"/>
          <w:szCs w:val="21"/>
        </w:rPr>
      </w:pPr>
    </w:p>
    <w:p w14:paraId="553B8140" w14:textId="77777777" w:rsidR="006D65C5" w:rsidRPr="00A81F25" w:rsidRDefault="006D65C5" w:rsidP="00443F8D">
      <w:pPr>
        <w:pStyle w:val="NormalWeb"/>
        <w:spacing w:before="0" w:beforeAutospacing="0" w:after="0" w:afterAutospacing="0"/>
        <w:jc w:val="both"/>
        <w:rPr>
          <w:color w:val="000000" w:themeColor="text1"/>
        </w:rPr>
      </w:pPr>
    </w:p>
    <w:p w14:paraId="768C5DEE" w14:textId="7216F719" w:rsidR="002A57E9" w:rsidRPr="00854E76" w:rsidRDefault="00854E76" w:rsidP="00443F8D">
      <w:pPr>
        <w:rPr>
          <w:b/>
          <w:bCs/>
        </w:rPr>
      </w:pPr>
      <w:r w:rsidRPr="00854E76">
        <w:rPr>
          <w:b/>
          <w:bCs/>
        </w:rPr>
        <w:t>References</w:t>
      </w:r>
    </w:p>
    <w:p w14:paraId="76127257" w14:textId="3CB961FA" w:rsidR="00854E76" w:rsidRDefault="00854E76" w:rsidP="008F3A3B"/>
    <w:p w14:paraId="5AEDBB4B" w14:textId="77777777" w:rsidR="00854E76" w:rsidRPr="00854E76" w:rsidRDefault="00854E76" w:rsidP="00854E76">
      <w:r w:rsidRPr="00854E76">
        <w:t xml:space="preserve">Cruz, N. E. (2014). International Accounting Firms: The Big. </w:t>
      </w:r>
      <w:r w:rsidRPr="00854E76">
        <w:rPr>
          <w:i/>
          <w:iCs/>
        </w:rPr>
        <w:t>Inter Metro Business Journal</w:t>
      </w:r>
      <w:r w:rsidRPr="00854E76">
        <w:t xml:space="preserve">, </w:t>
      </w:r>
      <w:r w:rsidRPr="00854E76">
        <w:rPr>
          <w:i/>
          <w:iCs/>
        </w:rPr>
        <w:t>10</w:t>
      </w:r>
      <w:r w:rsidRPr="00854E76">
        <w:t>(10), 1–14.</w:t>
      </w:r>
    </w:p>
    <w:p w14:paraId="2EF07CBA" w14:textId="77777777" w:rsidR="00854E76" w:rsidRDefault="00854E76" w:rsidP="008F3A3B"/>
    <w:sectPr w:rsidR="00854E76" w:rsidSect="00E250CF">
      <w:footerReference w:type="even" r:id="rId28"/>
      <w:footerReference w:type="default" r:id="rId2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F406B" w14:textId="77777777" w:rsidR="0066242A" w:rsidRDefault="0066242A" w:rsidP="00D11E36">
      <w:r>
        <w:separator/>
      </w:r>
    </w:p>
  </w:endnote>
  <w:endnote w:type="continuationSeparator" w:id="0">
    <w:p w14:paraId="756EAED4" w14:textId="77777777" w:rsidR="0066242A" w:rsidRDefault="0066242A" w:rsidP="00D11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Roman">
    <w:altName w:val="﷽﷽﷽﷽﷽﷽﷽﷽n Baiti"/>
    <w:panose1 w:val="02000603000000000000"/>
    <w:charset w:val="00"/>
    <w:family w:val="auto"/>
    <w:pitch w:val="variable"/>
    <w:sig w:usb0="E10002FF" w:usb1="5201E9EB" w:usb2="02020004" w:usb3="00000000" w:csb0="0000019F" w:csb1="00000000"/>
  </w:font>
  <w:font w:name="Times New Roman (Headings CS)">
    <w:altName w:val="Times New Roman"/>
    <w:panose1 w:val="020B0604020202020204"/>
    <w:charset w:val="00"/>
    <w:family w:val="auto"/>
    <w:pitch w:val="variable"/>
    <w:sig w:usb0="E0002AEF" w:usb1="C0007841" w:usb2="00000009" w:usb3="00000000" w:csb0="000001FF" w:csb1="00000000"/>
  </w:font>
  <w:font w:name="Times New Roman (Body CS)">
    <w:altName w:val="Times New Roman"/>
    <w:panose1 w:val="020B0604020202020204"/>
    <w:charset w:val="00"/>
    <w:family w:val="auto"/>
    <w:pitch w:val="variable"/>
    <w:sig w:usb0="E0002AEF" w:usb1="C0007841" w:usb2="00000009" w:usb3="00000000" w:csb0="000001FF" w:csb1="00000000"/>
  </w:font>
  <w:font w:name="Liberation Serif">
    <w:altName w:val="Times New Roman"/>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42215816"/>
      <w:docPartObj>
        <w:docPartGallery w:val="Page Numbers (Bottom of Page)"/>
        <w:docPartUnique/>
      </w:docPartObj>
    </w:sdtPr>
    <w:sdtContent>
      <w:p w14:paraId="1FB7A627" w14:textId="0D6225A5" w:rsidR="00D11E36" w:rsidRDefault="00D11E36" w:rsidP="00741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81982B" w14:textId="77777777" w:rsidR="00D11E36" w:rsidRDefault="00D11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08758262"/>
      <w:docPartObj>
        <w:docPartGallery w:val="Page Numbers (Bottom of Page)"/>
        <w:docPartUnique/>
      </w:docPartObj>
    </w:sdtPr>
    <w:sdtContent>
      <w:p w14:paraId="0880DE7D" w14:textId="3EAA5327" w:rsidR="00D11E36" w:rsidRDefault="00D11E36" w:rsidP="00741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B14A6D" w14:textId="77777777" w:rsidR="00D11E36" w:rsidRDefault="00D11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A2036" w14:textId="77777777" w:rsidR="0066242A" w:rsidRDefault="0066242A" w:rsidP="00D11E36">
      <w:r>
        <w:separator/>
      </w:r>
    </w:p>
  </w:footnote>
  <w:footnote w:type="continuationSeparator" w:id="0">
    <w:p w14:paraId="566AD54A" w14:textId="77777777" w:rsidR="0066242A" w:rsidRDefault="0066242A" w:rsidP="00D11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B7D7B"/>
    <w:multiLevelType w:val="multilevel"/>
    <w:tmpl w:val="67B4F38E"/>
    <w:lvl w:ilvl="0">
      <w:start w:val="1"/>
      <w:numFmt w:val="decimal"/>
      <w:suff w:val="space"/>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CB2055B"/>
    <w:multiLevelType w:val="multilevel"/>
    <w:tmpl w:val="658AE8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28B3B7F"/>
    <w:multiLevelType w:val="hybridMultilevel"/>
    <w:tmpl w:val="927AC2C6"/>
    <w:lvl w:ilvl="0" w:tplc="FFFFFFF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D7B5C9A"/>
    <w:multiLevelType w:val="hybridMultilevel"/>
    <w:tmpl w:val="70A0160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2AE3FAD"/>
    <w:multiLevelType w:val="multilevel"/>
    <w:tmpl w:val="8DA474F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suff w:val="space"/>
      <w:lvlText w:val="Appendix %6:"/>
      <w:lvlJc w:val="left"/>
      <w:pPr>
        <w:ind w:left="0" w:firstLine="0"/>
      </w:pPr>
      <w:rPr>
        <w:rFonts w:hint="default"/>
      </w:rPr>
    </w:lvl>
    <w:lvl w:ilvl="6">
      <w:start w:val="1"/>
      <w:numFmt w:val="decimal"/>
      <w:pStyle w:val="Heading7"/>
      <w:lvlText w:val="%6.%7"/>
      <w:lvlJc w:val="left"/>
      <w:pPr>
        <w:ind w:left="0" w:firstLine="0"/>
      </w:pPr>
      <w:rPr>
        <w:rFonts w:hint="default"/>
      </w:rPr>
    </w:lvl>
    <w:lvl w:ilvl="7">
      <w:start w:val="1"/>
      <w:numFmt w:val="decimal"/>
      <w:pStyle w:val="Heading8"/>
      <w:lvlText w:val="%6.%7.%8"/>
      <w:lvlJc w:val="left"/>
      <w:pPr>
        <w:ind w:left="0" w:firstLine="0"/>
      </w:pPr>
      <w:rPr>
        <w:rFonts w:hint="default"/>
      </w:rPr>
    </w:lvl>
    <w:lvl w:ilvl="8">
      <w:start w:val="1"/>
      <w:numFmt w:val="decimal"/>
      <w:pStyle w:val="Heading9"/>
      <w:lvlText w:val="%6.%7.%8.%9"/>
      <w:lvlJc w:val="left"/>
      <w:pPr>
        <w:ind w:left="0" w:firstLine="0"/>
      </w:pPr>
      <w:rPr>
        <w:rFonts w:hint="default"/>
      </w:rPr>
    </w:lvl>
  </w:abstractNum>
  <w:abstractNum w:abstractNumId="5" w15:restartNumberingAfterBreak="0">
    <w:nsid w:val="45587369"/>
    <w:multiLevelType w:val="hybridMultilevel"/>
    <w:tmpl w:val="82509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CA403A"/>
    <w:multiLevelType w:val="hybridMultilevel"/>
    <w:tmpl w:val="F4F85C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9547D09"/>
    <w:multiLevelType w:val="hybridMultilevel"/>
    <w:tmpl w:val="25B29EC4"/>
    <w:lvl w:ilvl="0" w:tplc="FFFFFFF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B236C99"/>
    <w:multiLevelType w:val="multilevel"/>
    <w:tmpl w:val="06A8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BD5405"/>
    <w:multiLevelType w:val="hybridMultilevel"/>
    <w:tmpl w:val="09BCB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E3032D"/>
    <w:multiLevelType w:val="hybridMultilevel"/>
    <w:tmpl w:val="F4F85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E84D79"/>
    <w:multiLevelType w:val="hybridMultilevel"/>
    <w:tmpl w:val="9B5A78E2"/>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5087073">
    <w:abstractNumId w:val="0"/>
  </w:num>
  <w:num w:numId="2" w16cid:durableId="2071414558">
    <w:abstractNumId w:val="0"/>
  </w:num>
  <w:num w:numId="3" w16cid:durableId="1376810674">
    <w:abstractNumId w:val="0"/>
  </w:num>
  <w:num w:numId="4" w16cid:durableId="1751999616">
    <w:abstractNumId w:val="0"/>
  </w:num>
  <w:num w:numId="5" w16cid:durableId="1168599219">
    <w:abstractNumId w:val="0"/>
  </w:num>
  <w:num w:numId="6" w16cid:durableId="396439514">
    <w:abstractNumId w:val="0"/>
  </w:num>
  <w:num w:numId="7" w16cid:durableId="1878464185">
    <w:abstractNumId w:val="0"/>
  </w:num>
  <w:num w:numId="8" w16cid:durableId="1177304502">
    <w:abstractNumId w:val="0"/>
  </w:num>
  <w:num w:numId="9" w16cid:durableId="1197624664">
    <w:abstractNumId w:val="0"/>
  </w:num>
  <w:num w:numId="10" w16cid:durableId="631331958">
    <w:abstractNumId w:val="0"/>
  </w:num>
  <w:num w:numId="11" w16cid:durableId="1994021383">
    <w:abstractNumId w:val="0"/>
  </w:num>
  <w:num w:numId="12" w16cid:durableId="216430169">
    <w:abstractNumId w:val="0"/>
  </w:num>
  <w:num w:numId="13" w16cid:durableId="465899099">
    <w:abstractNumId w:val="0"/>
  </w:num>
  <w:num w:numId="14" w16cid:durableId="1145855642">
    <w:abstractNumId w:val="0"/>
  </w:num>
  <w:num w:numId="15" w16cid:durableId="1850102555">
    <w:abstractNumId w:val="0"/>
  </w:num>
  <w:num w:numId="16" w16cid:durableId="788358635">
    <w:abstractNumId w:val="0"/>
  </w:num>
  <w:num w:numId="17" w16cid:durableId="347754666">
    <w:abstractNumId w:val="0"/>
  </w:num>
  <w:num w:numId="18" w16cid:durableId="14887008">
    <w:abstractNumId w:val="4"/>
  </w:num>
  <w:num w:numId="19" w16cid:durableId="1970822147">
    <w:abstractNumId w:val="4"/>
  </w:num>
  <w:num w:numId="20" w16cid:durableId="1604068413">
    <w:abstractNumId w:val="1"/>
  </w:num>
  <w:num w:numId="21" w16cid:durableId="1823309407">
    <w:abstractNumId w:val="4"/>
  </w:num>
  <w:num w:numId="22" w16cid:durableId="309137716">
    <w:abstractNumId w:val="4"/>
  </w:num>
  <w:num w:numId="23" w16cid:durableId="1943490189">
    <w:abstractNumId w:val="4"/>
  </w:num>
  <w:num w:numId="24" w16cid:durableId="1405954420">
    <w:abstractNumId w:val="4"/>
  </w:num>
  <w:num w:numId="25" w16cid:durableId="1784181159">
    <w:abstractNumId w:val="4"/>
  </w:num>
  <w:num w:numId="26" w16cid:durableId="1700352142">
    <w:abstractNumId w:val="4"/>
  </w:num>
  <w:num w:numId="27" w16cid:durableId="1514563750">
    <w:abstractNumId w:val="4"/>
  </w:num>
  <w:num w:numId="28" w16cid:durableId="2037726705">
    <w:abstractNumId w:val="4"/>
  </w:num>
  <w:num w:numId="29" w16cid:durableId="1969779694">
    <w:abstractNumId w:val="4"/>
  </w:num>
  <w:num w:numId="30" w16cid:durableId="1929535534">
    <w:abstractNumId w:val="9"/>
  </w:num>
  <w:num w:numId="31" w16cid:durableId="828790834">
    <w:abstractNumId w:val="8"/>
  </w:num>
  <w:num w:numId="32" w16cid:durableId="433064324">
    <w:abstractNumId w:val="11"/>
  </w:num>
  <w:num w:numId="33" w16cid:durableId="1042946596">
    <w:abstractNumId w:val="5"/>
  </w:num>
  <w:num w:numId="34" w16cid:durableId="2142766728">
    <w:abstractNumId w:val="10"/>
  </w:num>
  <w:num w:numId="35" w16cid:durableId="2090225323">
    <w:abstractNumId w:val="3"/>
  </w:num>
  <w:num w:numId="36" w16cid:durableId="917641839">
    <w:abstractNumId w:val="6"/>
  </w:num>
  <w:num w:numId="37" w16cid:durableId="1903520423">
    <w:abstractNumId w:val="7"/>
  </w:num>
  <w:num w:numId="38" w16cid:durableId="501164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5B"/>
    <w:rsid w:val="000B2EBA"/>
    <w:rsid w:val="000D7152"/>
    <w:rsid w:val="00136DBB"/>
    <w:rsid w:val="001D7668"/>
    <w:rsid w:val="00275610"/>
    <w:rsid w:val="0029063D"/>
    <w:rsid w:val="002A57E9"/>
    <w:rsid w:val="00327951"/>
    <w:rsid w:val="00362C2C"/>
    <w:rsid w:val="00366CBD"/>
    <w:rsid w:val="0044266E"/>
    <w:rsid w:val="00443F8D"/>
    <w:rsid w:val="004728D0"/>
    <w:rsid w:val="004C6678"/>
    <w:rsid w:val="00550020"/>
    <w:rsid w:val="005A2A3F"/>
    <w:rsid w:val="005E2ABD"/>
    <w:rsid w:val="00641BFC"/>
    <w:rsid w:val="00652C57"/>
    <w:rsid w:val="0066242A"/>
    <w:rsid w:val="006C1A35"/>
    <w:rsid w:val="006D65C5"/>
    <w:rsid w:val="00822E26"/>
    <w:rsid w:val="00854E76"/>
    <w:rsid w:val="008709BB"/>
    <w:rsid w:val="00887E56"/>
    <w:rsid w:val="008A34E3"/>
    <w:rsid w:val="008B06D9"/>
    <w:rsid w:val="008E3BC3"/>
    <w:rsid w:val="008F3A3B"/>
    <w:rsid w:val="00903283"/>
    <w:rsid w:val="00930E5B"/>
    <w:rsid w:val="00934217"/>
    <w:rsid w:val="00942CF4"/>
    <w:rsid w:val="009B2000"/>
    <w:rsid w:val="009D5AB7"/>
    <w:rsid w:val="00A3581B"/>
    <w:rsid w:val="00AC2A14"/>
    <w:rsid w:val="00B30FBF"/>
    <w:rsid w:val="00B9406B"/>
    <w:rsid w:val="00BE61A9"/>
    <w:rsid w:val="00C019B1"/>
    <w:rsid w:val="00C07F2C"/>
    <w:rsid w:val="00C432B8"/>
    <w:rsid w:val="00C44BD0"/>
    <w:rsid w:val="00C95538"/>
    <w:rsid w:val="00D11E36"/>
    <w:rsid w:val="00D176B1"/>
    <w:rsid w:val="00D22EAC"/>
    <w:rsid w:val="00D575E5"/>
    <w:rsid w:val="00D66FD3"/>
    <w:rsid w:val="00DF64D0"/>
    <w:rsid w:val="00E10813"/>
    <w:rsid w:val="00E250CF"/>
    <w:rsid w:val="00E5573B"/>
    <w:rsid w:val="00E77B7F"/>
    <w:rsid w:val="00EA5DEF"/>
    <w:rsid w:val="00F74D6C"/>
    <w:rsid w:val="00F9081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7A4A"/>
  <w15:chartTrackingRefBased/>
  <w15:docId w15:val="{545FD36C-02CE-A842-A743-302A7454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73B"/>
    <w:pPr>
      <w:jc w:val="both"/>
    </w:pPr>
    <w:rPr>
      <w:rFonts w:ascii="Times New Roman" w:hAnsi="Times New Roman"/>
      <w:lang w:val="en-US"/>
    </w:rPr>
  </w:style>
  <w:style w:type="paragraph" w:styleId="Heading1">
    <w:name w:val="heading 1"/>
    <w:basedOn w:val="Normal"/>
    <w:next w:val="Normal"/>
    <w:link w:val="Heading1Char"/>
    <w:uiPriority w:val="9"/>
    <w:qFormat/>
    <w:rsid w:val="00D22EAC"/>
    <w:pPr>
      <w:keepNext/>
      <w:keepLines/>
      <w:numPr>
        <w:numId w:val="29"/>
      </w:numPr>
      <w:spacing w:before="240" w:after="240"/>
      <w:jc w:val="left"/>
      <w:outlineLvl w:val="0"/>
    </w:pPr>
    <w:rPr>
      <w:rFonts w:ascii="CMU Serif Roman" w:eastAsiaTheme="majorEastAsia" w:hAnsi="CMU Serif Roman" w:cs="Times New Roman (Headings CS)"/>
      <w:b/>
      <w:color w:val="000000" w:themeColor="text1"/>
      <w:sz w:val="40"/>
      <w:szCs w:val="32"/>
      <w:lang w:eastAsia="en-GB"/>
    </w:rPr>
  </w:style>
  <w:style w:type="paragraph" w:styleId="Heading2">
    <w:name w:val="heading 2"/>
    <w:basedOn w:val="Normal"/>
    <w:next w:val="Normal"/>
    <w:link w:val="Heading2Char"/>
    <w:uiPriority w:val="9"/>
    <w:unhideWhenUsed/>
    <w:qFormat/>
    <w:rsid w:val="00D22EAC"/>
    <w:pPr>
      <w:keepNext/>
      <w:keepLines/>
      <w:numPr>
        <w:ilvl w:val="1"/>
        <w:numId w:val="29"/>
      </w:numPr>
      <w:spacing w:before="120" w:after="120"/>
      <w:outlineLvl w:val="1"/>
    </w:pPr>
    <w:rPr>
      <w:rFonts w:ascii="CMU Serif Roman" w:eastAsiaTheme="majorEastAsia" w:hAnsi="CMU Serif Roman" w:cstheme="majorBidi"/>
      <w:color w:val="000000" w:themeColor="text1"/>
      <w:sz w:val="32"/>
      <w:szCs w:val="26"/>
    </w:rPr>
  </w:style>
  <w:style w:type="paragraph" w:styleId="Heading3">
    <w:name w:val="heading 3"/>
    <w:basedOn w:val="Normal"/>
    <w:next w:val="Normal"/>
    <w:link w:val="Heading3Char"/>
    <w:uiPriority w:val="9"/>
    <w:unhideWhenUsed/>
    <w:qFormat/>
    <w:rsid w:val="00D22EAC"/>
    <w:pPr>
      <w:keepNext/>
      <w:keepLines/>
      <w:numPr>
        <w:ilvl w:val="2"/>
        <w:numId w:val="29"/>
      </w:numPr>
      <w:spacing w:before="120" w:after="120"/>
      <w:outlineLvl w:val="2"/>
    </w:pPr>
    <w:rPr>
      <w:rFonts w:ascii="CMU Serif Roman" w:eastAsiaTheme="majorEastAsia" w:hAnsi="CMU Serif Roman" w:cstheme="majorBidi"/>
      <w:color w:val="000000" w:themeColor="text1"/>
      <w:sz w:val="28"/>
    </w:rPr>
  </w:style>
  <w:style w:type="paragraph" w:styleId="Heading4">
    <w:name w:val="heading 4"/>
    <w:basedOn w:val="Normal"/>
    <w:next w:val="Normal"/>
    <w:link w:val="Heading4Char"/>
    <w:autoRedefine/>
    <w:uiPriority w:val="9"/>
    <w:unhideWhenUsed/>
    <w:qFormat/>
    <w:rsid w:val="00D22EAC"/>
    <w:pPr>
      <w:keepNext/>
      <w:keepLines/>
      <w:numPr>
        <w:ilvl w:val="3"/>
        <w:numId w:val="29"/>
      </w:numPr>
      <w:spacing w:before="120" w:after="120"/>
      <w:outlineLvl w:val="3"/>
    </w:pPr>
    <w:rPr>
      <w:rFonts w:ascii="CMU Serif Roman" w:eastAsiaTheme="majorEastAsia" w:hAnsi="CMU Serif Roman" w:cstheme="majorBidi"/>
      <w:i/>
      <w:iCs/>
      <w:color w:val="000000" w:themeColor="text1"/>
      <w:sz w:val="28"/>
    </w:rPr>
  </w:style>
  <w:style w:type="paragraph" w:styleId="Heading5">
    <w:name w:val="heading 5"/>
    <w:basedOn w:val="Normal"/>
    <w:next w:val="Normal"/>
    <w:link w:val="Heading5Char"/>
    <w:uiPriority w:val="9"/>
    <w:unhideWhenUsed/>
    <w:qFormat/>
    <w:rsid w:val="00D22EAC"/>
    <w:pPr>
      <w:keepNext/>
      <w:keepLines/>
      <w:numPr>
        <w:ilvl w:val="4"/>
        <w:numId w:val="29"/>
      </w:numPr>
      <w:spacing w:before="40"/>
      <w:outlineLvl w:val="4"/>
    </w:pPr>
    <w:rPr>
      <w:rFonts w:ascii="CMU Serif Roman" w:eastAsiaTheme="majorEastAsia" w:hAnsi="CMU Serif Roman" w:cstheme="majorBidi"/>
      <w:color w:val="000000" w:themeColor="text1"/>
      <w:sz w:val="28"/>
    </w:rPr>
  </w:style>
  <w:style w:type="paragraph" w:styleId="Heading6">
    <w:name w:val="heading 6"/>
    <w:basedOn w:val="Normal"/>
    <w:next w:val="Normal"/>
    <w:link w:val="Heading6Char"/>
    <w:uiPriority w:val="9"/>
    <w:unhideWhenUsed/>
    <w:qFormat/>
    <w:rsid w:val="00D22EAC"/>
    <w:pPr>
      <w:keepNext/>
      <w:keepLines/>
      <w:numPr>
        <w:ilvl w:val="5"/>
        <w:numId w:val="29"/>
      </w:numPr>
      <w:spacing w:before="40"/>
      <w:outlineLvl w:val="5"/>
    </w:pPr>
    <w:rPr>
      <w:rFonts w:ascii="CMU Serif Roman" w:eastAsiaTheme="majorEastAsia" w:hAnsi="CMU Serif Roman" w:cstheme="majorBidi"/>
      <w:b/>
      <w:color w:val="000000" w:themeColor="text1"/>
      <w:sz w:val="40"/>
    </w:rPr>
  </w:style>
  <w:style w:type="paragraph" w:styleId="Heading7">
    <w:name w:val="heading 7"/>
    <w:basedOn w:val="Normal"/>
    <w:next w:val="Normal"/>
    <w:link w:val="Heading7Char"/>
    <w:uiPriority w:val="9"/>
    <w:unhideWhenUsed/>
    <w:qFormat/>
    <w:rsid w:val="00D22EAC"/>
    <w:pPr>
      <w:keepNext/>
      <w:keepLines/>
      <w:numPr>
        <w:ilvl w:val="6"/>
        <w:numId w:val="29"/>
      </w:numPr>
      <w:spacing w:before="40"/>
      <w:outlineLvl w:val="6"/>
    </w:pPr>
    <w:rPr>
      <w:rFonts w:ascii="CMU Serif Roman" w:eastAsiaTheme="majorEastAsia" w:hAnsi="CMU Serif Roman" w:cstheme="majorBidi"/>
      <w:iCs/>
      <w:color w:val="000000" w:themeColor="text1"/>
      <w:sz w:val="32"/>
    </w:rPr>
  </w:style>
  <w:style w:type="paragraph" w:styleId="Heading8">
    <w:name w:val="heading 8"/>
    <w:basedOn w:val="Normal"/>
    <w:next w:val="Normal"/>
    <w:link w:val="Heading8Char"/>
    <w:uiPriority w:val="9"/>
    <w:semiHidden/>
    <w:unhideWhenUsed/>
    <w:qFormat/>
    <w:rsid w:val="00D22EAC"/>
    <w:pPr>
      <w:keepNext/>
      <w:keepLines/>
      <w:numPr>
        <w:ilvl w:val="7"/>
        <w:numId w:val="29"/>
      </w:numPr>
      <w:spacing w:before="40"/>
      <w:outlineLvl w:val="7"/>
    </w:pPr>
    <w:rPr>
      <w:rFonts w:ascii="CMU Serif Roman" w:eastAsiaTheme="majorEastAsia" w:hAnsi="CMU Serif Roman" w:cstheme="majorBidi"/>
      <w:color w:val="272727" w:themeColor="text1" w:themeTint="D8"/>
      <w:sz w:val="28"/>
      <w:szCs w:val="21"/>
    </w:rPr>
  </w:style>
  <w:style w:type="paragraph" w:styleId="Heading9">
    <w:name w:val="heading 9"/>
    <w:basedOn w:val="Normal"/>
    <w:next w:val="Normal"/>
    <w:link w:val="Heading9Char"/>
    <w:uiPriority w:val="9"/>
    <w:semiHidden/>
    <w:unhideWhenUsed/>
    <w:qFormat/>
    <w:rsid w:val="00D22EAC"/>
    <w:pPr>
      <w:keepNext/>
      <w:keepLines/>
      <w:numPr>
        <w:ilvl w:val="8"/>
        <w:numId w:val="29"/>
      </w:numPr>
      <w:spacing w:before="40"/>
      <w:outlineLvl w:val="8"/>
    </w:pPr>
    <w:rPr>
      <w:rFonts w:ascii="CMU Serif Roman" w:eastAsiaTheme="majorEastAsia" w:hAnsi="CMU Serif Roman" w:cstheme="majorBidi"/>
      <w:iCs/>
      <w:color w:val="272727" w:themeColor="text1" w:themeTint="D8"/>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urnalStyle">
    <w:name w:val="Journal Style"/>
    <w:basedOn w:val="Normal"/>
    <w:qFormat/>
    <w:rsid w:val="00E5573B"/>
    <w:rPr>
      <w:rFonts w:ascii="CMU Serif Roman" w:hAnsi="CMU Serif Roman" w:cs="Times New Roman (Body CS)"/>
      <w:lang w:eastAsia="en-GB"/>
    </w:rPr>
  </w:style>
  <w:style w:type="character" w:customStyle="1" w:styleId="Heading1Char">
    <w:name w:val="Heading 1 Char"/>
    <w:basedOn w:val="DefaultParagraphFont"/>
    <w:link w:val="Heading1"/>
    <w:uiPriority w:val="9"/>
    <w:rsid w:val="00D22EAC"/>
    <w:rPr>
      <w:rFonts w:ascii="CMU Serif Roman" w:eastAsiaTheme="majorEastAsia" w:hAnsi="CMU Serif Roman" w:cs="Times New Roman (Headings CS)"/>
      <w:b/>
      <w:color w:val="000000" w:themeColor="text1"/>
      <w:sz w:val="40"/>
      <w:szCs w:val="32"/>
      <w:lang w:val="en-US" w:eastAsia="en-GB"/>
    </w:rPr>
  </w:style>
  <w:style w:type="character" w:customStyle="1" w:styleId="Heading4Char">
    <w:name w:val="Heading 4 Char"/>
    <w:basedOn w:val="DefaultParagraphFont"/>
    <w:link w:val="Heading4"/>
    <w:uiPriority w:val="9"/>
    <w:rsid w:val="00D22EAC"/>
    <w:rPr>
      <w:rFonts w:ascii="CMU Serif Roman" w:eastAsiaTheme="majorEastAsia" w:hAnsi="CMU Serif Roman" w:cstheme="majorBidi"/>
      <w:i/>
      <w:iCs/>
      <w:color w:val="000000" w:themeColor="text1"/>
      <w:sz w:val="28"/>
    </w:rPr>
  </w:style>
  <w:style w:type="character" w:customStyle="1" w:styleId="Heading3Char">
    <w:name w:val="Heading 3 Char"/>
    <w:basedOn w:val="DefaultParagraphFont"/>
    <w:link w:val="Heading3"/>
    <w:uiPriority w:val="9"/>
    <w:rsid w:val="00D22EAC"/>
    <w:rPr>
      <w:rFonts w:ascii="CMU Serif Roman" w:eastAsiaTheme="majorEastAsia" w:hAnsi="CMU Serif Roman" w:cstheme="majorBidi"/>
      <w:color w:val="000000" w:themeColor="text1"/>
      <w:sz w:val="28"/>
    </w:rPr>
  </w:style>
  <w:style w:type="character" w:customStyle="1" w:styleId="Heading2Char">
    <w:name w:val="Heading 2 Char"/>
    <w:basedOn w:val="DefaultParagraphFont"/>
    <w:link w:val="Heading2"/>
    <w:uiPriority w:val="9"/>
    <w:rsid w:val="00D22EAC"/>
    <w:rPr>
      <w:rFonts w:ascii="CMU Serif Roman" w:eastAsiaTheme="majorEastAsia" w:hAnsi="CMU Serif Roman" w:cstheme="majorBidi"/>
      <w:color w:val="000000" w:themeColor="text1"/>
      <w:sz w:val="32"/>
      <w:szCs w:val="26"/>
    </w:rPr>
  </w:style>
  <w:style w:type="character" w:customStyle="1" w:styleId="Heading5Char">
    <w:name w:val="Heading 5 Char"/>
    <w:basedOn w:val="DefaultParagraphFont"/>
    <w:link w:val="Heading5"/>
    <w:uiPriority w:val="9"/>
    <w:rsid w:val="00D22EAC"/>
    <w:rPr>
      <w:rFonts w:ascii="CMU Serif Roman" w:eastAsiaTheme="majorEastAsia" w:hAnsi="CMU Serif Roman" w:cstheme="majorBidi"/>
      <w:color w:val="000000" w:themeColor="text1"/>
      <w:sz w:val="28"/>
    </w:rPr>
  </w:style>
  <w:style w:type="character" w:customStyle="1" w:styleId="Heading6Char">
    <w:name w:val="Heading 6 Char"/>
    <w:basedOn w:val="DefaultParagraphFont"/>
    <w:link w:val="Heading6"/>
    <w:uiPriority w:val="9"/>
    <w:rsid w:val="00D22EAC"/>
    <w:rPr>
      <w:rFonts w:ascii="CMU Serif Roman" w:eastAsiaTheme="majorEastAsia" w:hAnsi="CMU Serif Roman" w:cstheme="majorBidi"/>
      <w:b/>
      <w:color w:val="000000" w:themeColor="text1"/>
      <w:sz w:val="40"/>
    </w:rPr>
  </w:style>
  <w:style w:type="character" w:customStyle="1" w:styleId="Heading7Char">
    <w:name w:val="Heading 7 Char"/>
    <w:basedOn w:val="DefaultParagraphFont"/>
    <w:link w:val="Heading7"/>
    <w:uiPriority w:val="9"/>
    <w:rsid w:val="00D22EAC"/>
    <w:rPr>
      <w:rFonts w:ascii="CMU Serif Roman" w:eastAsiaTheme="majorEastAsia" w:hAnsi="CMU Serif Roman" w:cstheme="majorBidi"/>
      <w:iCs/>
      <w:color w:val="000000" w:themeColor="text1"/>
      <w:sz w:val="32"/>
      <w:lang w:val="en-US"/>
    </w:rPr>
  </w:style>
  <w:style w:type="character" w:customStyle="1" w:styleId="Heading9Char">
    <w:name w:val="Heading 9 Char"/>
    <w:basedOn w:val="DefaultParagraphFont"/>
    <w:link w:val="Heading9"/>
    <w:uiPriority w:val="9"/>
    <w:semiHidden/>
    <w:rsid w:val="00D22EAC"/>
    <w:rPr>
      <w:rFonts w:ascii="CMU Serif Roman" w:eastAsiaTheme="majorEastAsia" w:hAnsi="CMU Serif Roman" w:cstheme="majorBidi"/>
      <w:iCs/>
      <w:color w:val="272727" w:themeColor="text1" w:themeTint="D8"/>
      <w:sz w:val="28"/>
      <w:szCs w:val="21"/>
    </w:rPr>
  </w:style>
  <w:style w:type="paragraph" w:styleId="Bibliography">
    <w:name w:val="Bibliography"/>
    <w:basedOn w:val="Normal"/>
    <w:next w:val="Normal"/>
    <w:uiPriority w:val="37"/>
    <w:semiHidden/>
    <w:unhideWhenUsed/>
    <w:rsid w:val="00E5573B"/>
    <w:rPr>
      <w:rFonts w:ascii="CMU Serif Roman" w:hAnsi="CMU Serif Roman"/>
    </w:rPr>
  </w:style>
  <w:style w:type="character" w:customStyle="1" w:styleId="Heading8Char">
    <w:name w:val="Heading 8 Char"/>
    <w:basedOn w:val="DefaultParagraphFont"/>
    <w:link w:val="Heading8"/>
    <w:uiPriority w:val="9"/>
    <w:semiHidden/>
    <w:rsid w:val="00D22EAC"/>
    <w:rPr>
      <w:rFonts w:ascii="CMU Serif Roman" w:eastAsiaTheme="majorEastAsia" w:hAnsi="CMU Serif Roman" w:cstheme="majorBidi"/>
      <w:color w:val="272727" w:themeColor="text1" w:themeTint="D8"/>
      <w:sz w:val="28"/>
      <w:szCs w:val="21"/>
    </w:rPr>
  </w:style>
  <w:style w:type="paragraph" w:customStyle="1" w:styleId="AppendixStyle">
    <w:name w:val="AppendixStyle"/>
    <w:basedOn w:val="JournalStyle"/>
    <w:autoRedefine/>
    <w:qFormat/>
    <w:rsid w:val="00BE61A9"/>
    <w:pPr>
      <w:spacing w:before="240" w:after="240"/>
    </w:pPr>
    <w:rPr>
      <w:b/>
      <w:sz w:val="36"/>
    </w:rPr>
  </w:style>
  <w:style w:type="paragraph" w:styleId="NormalWeb">
    <w:name w:val="Normal (Web)"/>
    <w:basedOn w:val="Normal"/>
    <w:uiPriority w:val="99"/>
    <w:unhideWhenUsed/>
    <w:rsid w:val="00887E56"/>
    <w:pPr>
      <w:spacing w:before="100" w:beforeAutospacing="1" w:after="100" w:afterAutospacing="1"/>
      <w:jc w:val="left"/>
    </w:pPr>
    <w:rPr>
      <w:rFonts w:eastAsia="Times New Roman" w:cs="Times New Roman"/>
      <w:lang w:eastAsia="en-GB"/>
    </w:rPr>
  </w:style>
  <w:style w:type="paragraph" w:styleId="ListParagraph">
    <w:name w:val="List Paragraph"/>
    <w:basedOn w:val="Normal"/>
    <w:uiPriority w:val="34"/>
    <w:qFormat/>
    <w:rsid w:val="00887E56"/>
    <w:pPr>
      <w:ind w:left="720"/>
      <w:contextualSpacing/>
      <w:jc w:val="left"/>
    </w:pPr>
    <w:rPr>
      <w:rFonts w:eastAsia="Times New Roman" w:cs="Times New Roman"/>
      <w:lang w:eastAsia="en-GB"/>
    </w:rPr>
  </w:style>
  <w:style w:type="table" w:styleId="TableGrid">
    <w:name w:val="Table Grid"/>
    <w:basedOn w:val="TableNormal"/>
    <w:uiPriority w:val="39"/>
    <w:rsid w:val="00887E5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57E9"/>
    <w:rPr>
      <w:color w:val="0563C1" w:themeColor="hyperlink"/>
      <w:u w:val="single"/>
    </w:rPr>
  </w:style>
  <w:style w:type="character" w:styleId="UnresolvedMention">
    <w:name w:val="Unresolved Mention"/>
    <w:basedOn w:val="DefaultParagraphFont"/>
    <w:uiPriority w:val="99"/>
    <w:semiHidden/>
    <w:unhideWhenUsed/>
    <w:rsid w:val="002A57E9"/>
    <w:rPr>
      <w:color w:val="605E5C"/>
      <w:shd w:val="clear" w:color="auto" w:fill="E1DFDD"/>
    </w:rPr>
  </w:style>
  <w:style w:type="paragraph" w:styleId="Footer">
    <w:name w:val="footer"/>
    <w:basedOn w:val="Normal"/>
    <w:link w:val="FooterChar"/>
    <w:uiPriority w:val="99"/>
    <w:unhideWhenUsed/>
    <w:rsid w:val="00D11E36"/>
    <w:pPr>
      <w:tabs>
        <w:tab w:val="center" w:pos="4513"/>
        <w:tab w:val="right" w:pos="9026"/>
      </w:tabs>
    </w:pPr>
  </w:style>
  <w:style w:type="character" w:customStyle="1" w:styleId="FooterChar">
    <w:name w:val="Footer Char"/>
    <w:basedOn w:val="DefaultParagraphFont"/>
    <w:link w:val="Footer"/>
    <w:uiPriority w:val="99"/>
    <w:rsid w:val="00D11E36"/>
    <w:rPr>
      <w:rFonts w:ascii="Times New Roman" w:hAnsi="Times New Roman"/>
      <w:lang w:val="en-US"/>
    </w:rPr>
  </w:style>
  <w:style w:type="character" w:styleId="PageNumber">
    <w:name w:val="page number"/>
    <w:basedOn w:val="DefaultParagraphFont"/>
    <w:uiPriority w:val="99"/>
    <w:semiHidden/>
    <w:unhideWhenUsed/>
    <w:rsid w:val="00D11E36"/>
  </w:style>
  <w:style w:type="paragraph" w:customStyle="1" w:styleId="TableContents">
    <w:name w:val="Table Contents"/>
    <w:basedOn w:val="Normal"/>
    <w:qFormat/>
    <w:rsid w:val="00942CF4"/>
    <w:pPr>
      <w:widowControl w:val="0"/>
      <w:suppressLineNumbers/>
      <w:suppressAutoHyphens/>
      <w:jc w:val="left"/>
    </w:pPr>
    <w:rPr>
      <w:rFonts w:ascii="Liberation Serif" w:eastAsia="Arial Unicode MS" w:hAnsi="Liberation Serif" w:cs="Arial Unicode MS"/>
      <w:kern w:val="2"/>
      <w:lang w:eastAsia="zh-CN" w:bidi="hi-IN"/>
    </w:rPr>
  </w:style>
  <w:style w:type="paragraph" w:customStyle="1" w:styleId="TableHeading">
    <w:name w:val="Table Heading"/>
    <w:basedOn w:val="TableContents"/>
    <w:qFormat/>
    <w:rsid w:val="00942CF4"/>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911845">
      <w:bodyDiv w:val="1"/>
      <w:marLeft w:val="0"/>
      <w:marRight w:val="0"/>
      <w:marTop w:val="0"/>
      <w:marBottom w:val="0"/>
      <w:divBdr>
        <w:top w:val="none" w:sz="0" w:space="0" w:color="auto"/>
        <w:left w:val="none" w:sz="0" w:space="0" w:color="auto"/>
        <w:bottom w:val="none" w:sz="0" w:space="0" w:color="auto"/>
        <w:right w:val="none" w:sz="0" w:space="0" w:color="auto"/>
      </w:divBdr>
      <w:divsChild>
        <w:div w:id="1607038731">
          <w:marLeft w:val="480"/>
          <w:marRight w:val="0"/>
          <w:marTop w:val="0"/>
          <w:marBottom w:val="0"/>
          <w:divBdr>
            <w:top w:val="none" w:sz="0" w:space="0" w:color="auto"/>
            <w:left w:val="none" w:sz="0" w:space="0" w:color="auto"/>
            <w:bottom w:val="none" w:sz="0" w:space="0" w:color="auto"/>
            <w:right w:val="none" w:sz="0" w:space="0" w:color="auto"/>
          </w:divBdr>
          <w:divsChild>
            <w:div w:id="14508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4145">
      <w:bodyDiv w:val="1"/>
      <w:marLeft w:val="0"/>
      <w:marRight w:val="0"/>
      <w:marTop w:val="0"/>
      <w:marBottom w:val="0"/>
      <w:divBdr>
        <w:top w:val="none" w:sz="0" w:space="0" w:color="auto"/>
        <w:left w:val="none" w:sz="0" w:space="0" w:color="auto"/>
        <w:bottom w:val="none" w:sz="0" w:space="0" w:color="auto"/>
        <w:right w:val="none" w:sz="0" w:space="0" w:color="auto"/>
      </w:divBdr>
      <w:divsChild>
        <w:div w:id="7099683">
          <w:marLeft w:val="480"/>
          <w:marRight w:val="0"/>
          <w:marTop w:val="0"/>
          <w:marBottom w:val="0"/>
          <w:divBdr>
            <w:top w:val="none" w:sz="0" w:space="0" w:color="auto"/>
            <w:left w:val="none" w:sz="0" w:space="0" w:color="auto"/>
            <w:bottom w:val="none" w:sz="0" w:space="0" w:color="auto"/>
            <w:right w:val="none" w:sz="0" w:space="0" w:color="auto"/>
          </w:divBdr>
          <w:divsChild>
            <w:div w:id="40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759">
      <w:bodyDiv w:val="1"/>
      <w:marLeft w:val="0"/>
      <w:marRight w:val="0"/>
      <w:marTop w:val="0"/>
      <w:marBottom w:val="0"/>
      <w:divBdr>
        <w:top w:val="none" w:sz="0" w:space="0" w:color="auto"/>
        <w:left w:val="none" w:sz="0" w:space="0" w:color="auto"/>
        <w:bottom w:val="none" w:sz="0" w:space="0" w:color="auto"/>
        <w:right w:val="none" w:sz="0" w:space="0" w:color="auto"/>
      </w:divBdr>
      <w:divsChild>
        <w:div w:id="892037863">
          <w:marLeft w:val="480"/>
          <w:marRight w:val="0"/>
          <w:marTop w:val="0"/>
          <w:marBottom w:val="0"/>
          <w:divBdr>
            <w:top w:val="none" w:sz="0" w:space="0" w:color="auto"/>
            <w:left w:val="none" w:sz="0" w:space="0" w:color="auto"/>
            <w:bottom w:val="none" w:sz="0" w:space="0" w:color="auto"/>
            <w:right w:val="none" w:sz="0" w:space="0" w:color="auto"/>
          </w:divBdr>
          <w:divsChild>
            <w:div w:id="17808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27">
      <w:bodyDiv w:val="1"/>
      <w:marLeft w:val="0"/>
      <w:marRight w:val="0"/>
      <w:marTop w:val="0"/>
      <w:marBottom w:val="0"/>
      <w:divBdr>
        <w:top w:val="none" w:sz="0" w:space="0" w:color="auto"/>
        <w:left w:val="none" w:sz="0" w:space="0" w:color="auto"/>
        <w:bottom w:val="none" w:sz="0" w:space="0" w:color="auto"/>
        <w:right w:val="none" w:sz="0" w:space="0" w:color="auto"/>
      </w:divBdr>
      <w:divsChild>
        <w:div w:id="1898778230">
          <w:marLeft w:val="480"/>
          <w:marRight w:val="0"/>
          <w:marTop w:val="0"/>
          <w:marBottom w:val="0"/>
          <w:divBdr>
            <w:top w:val="none" w:sz="0" w:space="0" w:color="auto"/>
            <w:left w:val="none" w:sz="0" w:space="0" w:color="auto"/>
            <w:bottom w:val="none" w:sz="0" w:space="0" w:color="auto"/>
            <w:right w:val="none" w:sz="0" w:space="0" w:color="auto"/>
          </w:divBdr>
          <w:divsChild>
            <w:div w:id="21465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content/dam/Deloitte/global/Documents/About-Deloitte/gx-deloitte-2011-gir-annual-report.pdf" TargetMode="External"/><Relationship Id="rId13" Type="http://schemas.openxmlformats.org/officeDocument/2006/relationships/hyperlink" Target="https://assets.ey.com/content/dam/ey-sites/ey-com/en_gl/topics/global-review/2018/ey_global_review_2018_v11_hr.pdf" TargetMode="External"/><Relationship Id="rId18" Type="http://schemas.openxmlformats.org/officeDocument/2006/relationships/hyperlink" Target="https://www.businesswire.com/news/home/20090930005092/en/Er" TargetMode="External"/><Relationship Id="rId26" Type="http://schemas.openxmlformats.org/officeDocument/2006/relationships/hyperlink" Target="https://www.ft.com/content/dfd5703a-2363-11ea-b8a1-584213ee7b2b" TargetMode="External"/><Relationship Id="rId3" Type="http://schemas.openxmlformats.org/officeDocument/2006/relationships/settings" Target="settings.xml"/><Relationship Id="rId21" Type="http://schemas.openxmlformats.org/officeDocument/2006/relationships/hyperlink" Target="https://www.forbes.com/powerful-brands/list/3/" TargetMode="External"/><Relationship Id="rId7" Type="http://schemas.openxmlformats.org/officeDocument/2006/relationships/hyperlink" Target="https://www.webwire.com/ViewPressRel_print.asp?aId=7101" TargetMode="External"/><Relationship Id="rId12" Type="http://schemas.openxmlformats.org/officeDocument/2006/relationships/hyperlink" Target="https://elischolar.library.yale.edu/cgi/viewcontent.cgi?article=1305&amp;context=ypfs-documents" TargetMode="External"/><Relationship Id="rId17" Type="http://schemas.openxmlformats.org/officeDocument/2006/relationships/hyperlink" Target="https://www.pwc.com/gx/en/about-pwc/global-annual-review-2020/downloads/pwc-global-annual-review-2020.pdf" TargetMode="External"/><Relationship Id="rId25" Type="http://schemas.openxmlformats.org/officeDocument/2006/relationships/hyperlink" Target="https://www.ft.com/content/a7a6aa80-e137-11e9-9743-db5a370481bc" TargetMode="External"/><Relationship Id="rId2" Type="http://schemas.openxmlformats.org/officeDocument/2006/relationships/styles" Target="styles.xml"/><Relationship Id="rId16" Type="http://schemas.openxmlformats.org/officeDocument/2006/relationships/hyperlink" Target="https://www.pwc.com/ua/en/survey/2016/global-annual-review-2016.html" TargetMode="External"/><Relationship Id="rId20" Type="http://schemas.openxmlformats.org/officeDocument/2006/relationships/hyperlink" Target="https://www.economist.com/business/2021/02/27/mckinsey-casts-off-itsmanaging-Partner"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monadnockresearch.com/pubfiles/Ernst_Young_Global_Review_2010.pdf" TargetMode="External"/><Relationship Id="rId24" Type="http://schemas.openxmlformats.org/officeDocument/2006/relationships/hyperlink" Target="https://luxtimes.lu/archives/3249-mossackfonseca-closes-luxembourg-office-days-before-bosses-arrested" TargetMode="External"/><Relationship Id="rId5" Type="http://schemas.openxmlformats.org/officeDocument/2006/relationships/footnotes" Target="footnotes.xml"/><Relationship Id="rId15" Type="http://schemas.openxmlformats.org/officeDocument/2006/relationships/hyperlink" Target="https://www.pwc.com.au/about-us/annual-review/assets/global-annual-review-15.pdf" TargetMode="External"/><Relationship Id="rId23" Type="http://schemas.openxmlformats.org/officeDocument/2006/relationships/hyperlink" Target="https://www.ft.com/content/636d7f58-3397-11ea-a329-0bcf87a328f2" TargetMode="External"/><Relationship Id="rId28" Type="http://schemas.openxmlformats.org/officeDocument/2006/relationships/footer" Target="footer1.xml"/><Relationship Id="rId10" Type="http://schemas.openxmlformats.org/officeDocument/2006/relationships/hyperlink" Target="https://www2.deloitte.com/content/dam/Deloitte/global/Documents/About-Deloitte/deloitte-2018-global-impact-report.pdf" TargetMode="External"/><Relationship Id="rId19" Type="http://schemas.openxmlformats.org/officeDocument/2006/relationships/hyperlink" Target="https://www.wsj.com/articles/big-employers-of-business-schoolgrads-are-customizing-the-degrees-1161476740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2.deloitte.com/content/dam/Deloitte/global/Documents/About-Deloitte/gx-gr13-main-report.pdf" TargetMode="External"/><Relationship Id="rId14" Type="http://schemas.openxmlformats.org/officeDocument/2006/relationships/hyperlink" Target="https://ungc-production.s3.us-west-2.amazonaws.com/attachments/7107/original/PwC_Global_Annual_Review_2004.pdf?1282019080" TargetMode="External"/><Relationship Id="rId22" Type="http://schemas.openxmlformats.org/officeDocument/2006/relationships/hyperlink" Target="https://tax.thomsonreuters.com/news/big-four-aipca-lobbying-includes-fasb-independence-pcaob-enforcement-transparency/" TargetMode="External"/><Relationship Id="rId27" Type="http://schemas.openxmlformats.org/officeDocument/2006/relationships/hyperlink" Target="https://www.ft.com/content/f872960d-bb68-4b9b-a85b-be932bb62df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2849</Words>
  <Characters>16243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Iliopoulos (Student)</dc:creator>
  <cp:keywords/>
  <dc:description/>
  <cp:lastModifiedBy>Panagiotis Iliopoulos</cp:lastModifiedBy>
  <cp:revision>13</cp:revision>
  <dcterms:created xsi:type="dcterms:W3CDTF">2023-01-31T10:30:00Z</dcterms:created>
  <dcterms:modified xsi:type="dcterms:W3CDTF">2024-08-14T10:37:00Z</dcterms:modified>
</cp:coreProperties>
</file>