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left"/>
        <w:rPr/>
      </w:pPr>
      <w:r>
        <w:rPr>
          <w:b w:val="false"/>
          <w:i w:val="false"/>
          <w:sz w:val="24"/>
        </w:rPr>
        <w:t>Panagiotis Vionis</w:t>
      </w:r>
    </w:p>
    <w:p>
      <w:pPr>
        <w:pStyle w:val="Normal"/>
        <w:spacing w:lineRule="auto" w:line="240" w:before="0" w:after="0"/>
        <w:jc w:val="left"/>
        <w:rPr/>
      </w:pPr>
      <w:r>
        <w:rPr>
          <w:b w:val="false"/>
          <w:i w:val="false"/>
          <w:sz w:val="24"/>
        </w:rPr>
        <w:t>Department of Business and Organization Administration</w:t>
      </w:r>
    </w:p>
    <w:p>
      <w:pPr>
        <w:pStyle w:val="Normal"/>
        <w:spacing w:lineRule="auto" w:line="240" w:before="0" w:after="0"/>
        <w:jc w:val="left"/>
        <w:rPr/>
      </w:pPr>
      <w:r>
        <w:rPr>
          <w:b w:val="false"/>
          <w:i w:val="false"/>
          <w:sz w:val="24"/>
        </w:rPr>
        <w:t>University of Peloponnese</w:t>
      </w:r>
    </w:p>
    <w:p>
      <w:pPr>
        <w:pStyle w:val="Normal"/>
        <w:spacing w:lineRule="auto" w:line="240" w:before="0" w:after="0"/>
        <w:jc w:val="left"/>
        <w:rPr/>
      </w:pPr>
      <w:r>
        <w:rPr>
          <w:b w:val="false"/>
          <w:i w:val="false"/>
          <w:sz w:val="24"/>
        </w:rPr>
        <w:t>Antikalamos, Kalamata 24100</w:t>
      </w:r>
    </w:p>
    <w:p>
      <w:pPr>
        <w:pStyle w:val="Normal"/>
        <w:spacing w:lineRule="auto" w:line="240" w:before="0" w:after="0"/>
        <w:jc w:val="left"/>
        <w:rPr/>
      </w:pPr>
      <w:r>
        <w:rPr>
          <w:b w:val="false"/>
          <w:i w:val="false"/>
          <w:sz w:val="24"/>
        </w:rPr>
        <w:t>Greece</w:t>
      </w:r>
    </w:p>
    <w:p>
      <w:pPr>
        <w:pStyle w:val="Normal"/>
        <w:spacing w:lineRule="auto" w:line="240" w:before="0" w:after="0"/>
        <w:rPr/>
      </w:pPr>
      <w:r>
        <w:rPr/>
      </w:r>
    </w:p>
    <w:p>
      <w:pPr>
        <w:pStyle w:val="Normal"/>
        <w:spacing w:lineRule="auto" w:line="240" w:before="0" w:after="0"/>
        <w:jc w:val="left"/>
        <w:rPr/>
      </w:pPr>
      <w:r>
        <w:rPr>
          <w:b w:val="false"/>
          <w:i w:val="false"/>
          <w:sz w:val="24"/>
        </w:rPr>
        <w:t>27 June 2026</w:t>
      </w:r>
    </w:p>
    <w:p>
      <w:pPr>
        <w:pStyle w:val="Normal"/>
        <w:spacing w:lineRule="auto" w:line="240" w:before="0" w:after="0"/>
        <w:rPr/>
      </w:pPr>
      <w:r>
        <w:rPr/>
      </w:r>
    </w:p>
    <w:p>
      <w:pPr>
        <w:pStyle w:val="Normal"/>
        <w:spacing w:lineRule="auto" w:line="240" w:before="0" w:after="0"/>
        <w:jc w:val="left"/>
        <w:rPr/>
      </w:pPr>
      <w:r>
        <w:rPr>
          <w:b w:val="false"/>
          <w:i w:val="false"/>
          <w:sz w:val="24"/>
        </w:rPr>
        <w:t>The Editor-in-Chief</w:t>
      </w:r>
    </w:p>
    <w:p>
      <w:pPr>
        <w:pStyle w:val="Normal"/>
        <w:spacing w:lineRule="auto" w:line="240" w:before="0" w:after="0"/>
        <w:jc w:val="left"/>
        <w:rPr/>
      </w:pPr>
      <w:r>
        <w:rPr>
          <w:b w:val="false"/>
          <w:i w:val="false"/>
          <w:sz w:val="24"/>
        </w:rPr>
        <w:t>Journal of Applied Research in Intellectual Disabilities (JARID)</w:t>
      </w:r>
    </w:p>
    <w:p>
      <w:pPr>
        <w:pStyle w:val="Normal"/>
        <w:spacing w:lineRule="auto" w:line="240" w:before="0" w:after="0"/>
        <w:rPr/>
      </w:pPr>
      <w:r>
        <w:rPr/>
      </w:r>
    </w:p>
    <w:p>
      <w:pPr>
        <w:pStyle w:val="Normal"/>
        <w:spacing w:lineRule="auto" w:line="240" w:before="0" w:after="160"/>
        <w:rPr/>
      </w:pPr>
      <w:r>
        <w:rPr>
          <w:b w:val="false"/>
          <w:i w:val="false"/>
          <w:sz w:val="24"/>
        </w:rPr>
        <w:t>Dear Editor,</w:t>
      </w:r>
    </w:p>
    <w:p>
      <w:pPr>
        <w:pStyle w:val="Normal"/>
        <w:spacing w:lineRule="auto" w:line="240" w:before="0" w:after="0"/>
        <w:rPr/>
      </w:pPr>
      <w:r>
        <w:rPr/>
      </w:r>
    </w:p>
    <w:p>
      <w:pPr>
        <w:pStyle w:val="Normal"/>
        <w:spacing w:lineRule="auto" w:line="240" w:before="0" w:after="200"/>
        <w:rPr/>
      </w:pPr>
      <w:r>
        <w:rPr>
          <w:b w:val="false"/>
          <w:i w:val="false"/>
          <w:sz w:val="24"/>
        </w:rPr>
        <w:t xml:space="preserve">We are pleased to submit our manuscript entitled </w:t>
      </w:r>
      <w:r>
        <w:rPr>
          <w:b/>
          <w:i w:val="false"/>
          <w:sz w:val="24"/>
        </w:rPr>
        <w:t>“Enhancing Socio-Emotional Functioning of Adults with Disabilities: Evaluation of an Experiential Intervention in a Day Care Facility”</w:t>
      </w:r>
      <w:r>
        <w:rPr>
          <w:b w:val="false"/>
          <w:i w:val="false"/>
          <w:sz w:val="24"/>
        </w:rPr>
        <w:t xml:space="preserve"> for consideration for publication in the </w:t>
      </w:r>
      <w:r>
        <w:rPr>
          <w:b w:val="false"/>
          <w:i/>
          <w:sz w:val="24"/>
        </w:rPr>
        <w:t>Journal of Applied Research in Intellectual Disabilities</w:t>
      </w:r>
      <w:r>
        <w:rPr>
          <w:b w:val="false"/>
          <w:i w:val="false"/>
          <w:sz w:val="24"/>
        </w:rPr>
        <w:t xml:space="preserve"> (JARID) as an Original Article.</w:t>
      </w:r>
    </w:p>
    <w:p>
      <w:pPr>
        <w:pStyle w:val="Normal"/>
        <w:spacing w:lineRule="auto" w:line="240" w:before="0" w:after="0"/>
        <w:rPr/>
      </w:pPr>
      <w:r>
        <w:rPr/>
      </w:r>
    </w:p>
    <w:p>
      <w:pPr>
        <w:pStyle w:val="Normal"/>
        <w:spacing w:lineRule="auto" w:line="240" w:before="0" w:after="80"/>
        <w:rPr/>
      </w:pPr>
      <w:r>
        <w:rPr>
          <w:b/>
          <w:i w:val="false"/>
          <w:sz w:val="24"/>
        </w:rPr>
        <w:t>What the study is about.</w:t>
      </w:r>
    </w:p>
    <w:p>
      <w:pPr>
        <w:pStyle w:val="Normal"/>
        <w:spacing w:lineRule="auto" w:line="240" w:before="0" w:after="200"/>
        <w:rPr/>
      </w:pPr>
      <w:r>
        <w:rPr>
          <w:b w:val="false"/>
          <w:i w:val="false"/>
          <w:sz w:val="24"/>
        </w:rPr>
        <w:t xml:space="preserve">This study evaluates the effectiveness of a structured, arts-based socio-emotional empowerment program implemented over three months at a Day Care Center serving adults with intellectual and psychosocial disabilities. The program, entitled </w:t>
      </w:r>
      <w:r>
        <w:rPr>
          <w:b w:val="false"/>
          <w:i/>
          <w:sz w:val="24"/>
        </w:rPr>
        <w:t>“The Universe Within Us,”</w:t>
      </w:r>
      <w:r>
        <w:rPr>
          <w:b w:val="false"/>
          <w:i w:val="false"/>
          <w:sz w:val="24"/>
        </w:rPr>
        <w:t xml:space="preserve"> combined theatre, music, movement, ceramics, and narrative dialogue within a group format, drawing on Social and Emotional Learning (SEL), emotional intelligence theory, and Vygotsky’s socio-cultural framework.</w:t>
      </w:r>
    </w:p>
    <w:p>
      <w:pPr>
        <w:pStyle w:val="Normal"/>
        <w:spacing w:lineRule="auto" w:line="240" w:before="0" w:after="0"/>
        <w:rPr/>
      </w:pPr>
      <w:r>
        <w:rPr/>
      </w:r>
    </w:p>
    <w:p>
      <w:pPr>
        <w:pStyle w:val="Normal"/>
        <w:spacing w:lineRule="auto" w:line="240" w:before="0" w:after="80"/>
        <w:rPr/>
      </w:pPr>
      <w:r>
        <w:rPr>
          <w:b/>
          <w:i w:val="false"/>
          <w:sz w:val="24"/>
        </w:rPr>
        <w:t>Design and key findings.</w:t>
      </w:r>
    </w:p>
    <w:p>
      <w:pPr>
        <w:pStyle w:val="Normal"/>
        <w:spacing w:lineRule="auto" w:line="240" w:before="0" w:after="200"/>
        <w:rPr/>
      </w:pPr>
      <w:r>
        <w:rPr>
          <w:b w:val="false"/>
          <w:i w:val="false"/>
          <w:sz w:val="24"/>
        </w:rPr>
        <w:t>Using a three-phase longitudinal design (</w:t>
      </w:r>
      <w:r>
        <w:rPr>
          <w:b w:val="false"/>
          <w:i/>
          <w:sz w:val="24"/>
        </w:rPr>
        <w:t>n</w:t>
      </w:r>
      <w:r>
        <w:rPr>
          <w:b w:val="false"/>
          <w:i w:val="false"/>
          <w:sz w:val="24"/>
        </w:rPr>
        <w:t xml:space="preserve"> = 30 adults) and three independent sources of evaluation—beneficiary self-reports, trainer/educator assessments, and independent observer ratings—we found statistically significant and practically meaningful improvements in socio-emotional functioning across all evaluator sources (Cohen’s </w:t>
      </w:r>
      <w:r>
        <w:rPr>
          <w:b w:val="false"/>
          <w:i/>
          <w:sz w:val="24"/>
        </w:rPr>
        <w:t>d</w:t>
      </w:r>
      <w:r>
        <w:rPr>
          <w:b w:val="false"/>
          <w:i w:val="false"/>
          <w:sz w:val="24"/>
        </w:rPr>
        <w:t xml:space="preserve"> ranging from 1.35 to 2.45, all </w:t>
      </w:r>
      <w:r>
        <w:rPr>
          <w:b w:val="false"/>
          <w:i/>
          <w:sz w:val="24"/>
        </w:rPr>
        <w:t>p</w:t>
      </w:r>
      <w:r>
        <w:rPr>
          <w:b w:val="false"/>
          <w:i w:val="false"/>
          <w:sz w:val="24"/>
        </w:rPr>
        <w:t xml:space="preserve"> &lt; .001). Friedman tests confirmed significant progressive change across measurement phases. Convergence across the three independent evaluator sources strengthens confidence in the findings.</w:t>
      </w:r>
    </w:p>
    <w:p>
      <w:pPr>
        <w:pStyle w:val="Normal"/>
        <w:spacing w:lineRule="auto" w:line="240" w:before="0" w:after="0"/>
        <w:rPr/>
      </w:pPr>
      <w:r>
        <w:rPr/>
      </w:r>
    </w:p>
    <w:p>
      <w:pPr>
        <w:pStyle w:val="Normal"/>
        <w:spacing w:lineRule="auto" w:line="240" w:before="0" w:after="80"/>
        <w:rPr/>
      </w:pPr>
      <w:r>
        <w:rPr>
          <w:b/>
          <w:i w:val="false"/>
          <w:sz w:val="24"/>
        </w:rPr>
        <w:t>Why JARID.</w:t>
      </w:r>
    </w:p>
    <w:p>
      <w:pPr>
        <w:pStyle w:val="Normal"/>
        <w:spacing w:lineRule="auto" w:line="240" w:before="0" w:after="80"/>
        <w:rPr/>
      </w:pPr>
      <w:r>
        <w:rPr>
          <w:b w:val="false"/>
          <w:i w:val="false"/>
          <w:sz w:val="24"/>
        </w:rPr>
        <w:t>We believe this manuscript is well suited for JARID for the following reasons:</w:t>
      </w:r>
    </w:p>
    <w:p>
      <w:pPr>
        <w:pStyle w:val="ListBullet"/>
        <w:numPr>
          <w:ilvl w:val="0"/>
          <w:numId w:val="1"/>
        </w:numPr>
        <w:spacing w:lineRule="auto" w:line="240" w:before="0" w:after="80"/>
        <w:contextualSpacing/>
        <w:rPr/>
      </w:pPr>
      <w:r>
        <w:rPr>
          <w:b w:val="false"/>
          <w:i w:val="false"/>
          <w:sz w:val="24"/>
        </w:rPr>
        <w:t>It focuses on adults with intellectual and psychosocial disabilities in a community-based Day Care Center setting—an area currently underrepresented in the literature.</w:t>
      </w:r>
    </w:p>
    <w:p>
      <w:pPr>
        <w:pStyle w:val="ListBullet"/>
        <w:numPr>
          <w:ilvl w:val="0"/>
          <w:numId w:val="1"/>
        </w:numPr>
        <w:spacing w:lineRule="auto" w:line="240" w:before="0" w:after="80"/>
        <w:contextualSpacing/>
        <w:rPr/>
      </w:pPr>
      <w:r>
        <w:rPr>
          <w:b w:val="false"/>
          <w:i w:val="false"/>
          <w:sz w:val="24"/>
        </w:rPr>
        <w:t>It addresses socio-emotional empowerment, quality of life, and social inclusion, which are central to JARID’s scope.</w:t>
      </w:r>
    </w:p>
    <w:p>
      <w:pPr>
        <w:pStyle w:val="ListBullet"/>
        <w:numPr>
          <w:ilvl w:val="0"/>
          <w:numId w:val="1"/>
        </w:numPr>
        <w:spacing w:lineRule="auto" w:line="240" w:before="0" w:after="80"/>
        <w:contextualSpacing/>
        <w:rPr/>
      </w:pPr>
      <w:r>
        <w:rPr>
          <w:b w:val="false"/>
          <w:i w:val="false"/>
          <w:sz w:val="24"/>
        </w:rPr>
        <w:t>It employs a multi-source, longitudinal evaluation design and reports effect sizes, contributing methodologically to the field.</w:t>
      </w:r>
    </w:p>
    <w:p>
      <w:pPr>
        <w:pStyle w:val="ListBullet"/>
        <w:numPr>
          <w:ilvl w:val="0"/>
          <w:numId w:val="1"/>
        </w:numPr>
        <w:spacing w:lineRule="auto" w:line="240" w:before="0" w:after="80"/>
        <w:contextualSpacing/>
        <w:rPr/>
      </w:pPr>
      <w:r>
        <w:rPr>
          <w:b w:val="false"/>
          <w:i w:val="false"/>
          <w:sz w:val="24"/>
        </w:rPr>
        <w:t>The documented and replicable intervention model has direct practical implications for disability services internationally.</w:t>
      </w:r>
    </w:p>
    <w:p>
      <w:pPr>
        <w:pStyle w:val="Normal"/>
        <w:spacing w:lineRule="auto" w:line="240" w:before="0" w:after="0"/>
        <w:rPr/>
      </w:pPr>
      <w:r>
        <w:rPr/>
      </w:r>
    </w:p>
    <w:p>
      <w:pPr>
        <w:pStyle w:val="Normal"/>
        <w:spacing w:lineRule="auto" w:line="240" w:before="0" w:after="80"/>
        <w:rPr/>
      </w:pPr>
      <w:r>
        <w:rPr>
          <w:b/>
          <w:i w:val="false"/>
          <w:sz w:val="24"/>
        </w:rPr>
        <w:t>Ethical and submission statements.</w:t>
      </w:r>
    </w:p>
    <w:p>
      <w:pPr>
        <w:pStyle w:val="Normal"/>
        <w:spacing w:lineRule="auto" w:line="240" w:before="0" w:after="200"/>
        <w:rPr/>
      </w:pPr>
      <w:r>
        <w:rPr>
          <w:b w:val="false"/>
          <w:i w:val="false"/>
          <w:sz w:val="24"/>
        </w:rPr>
        <w:t>This manuscript has not been published previously and is not under consideration for publication elsewhere. All four authors have read and approved the final version and agree to its submission to JARID. We confirm compliance with JARID’s double-anonymous peer review policy: all identifying information has been removed from the main manuscript file; author details are provided on the separate title page submitted alongside this letter.</w:t>
      </w:r>
    </w:p>
    <w:p>
      <w:pPr>
        <w:pStyle w:val="Normal"/>
        <w:spacing w:lineRule="auto" w:line="240" w:before="0" w:after="0"/>
        <w:rPr/>
      </w:pPr>
      <w:r>
        <w:rPr/>
      </w:r>
    </w:p>
    <w:p>
      <w:pPr>
        <w:pStyle w:val="Normal"/>
        <w:spacing w:lineRule="auto" w:line="240" w:before="0" w:after="200"/>
        <w:rPr/>
      </w:pPr>
      <w:r>
        <w:rPr>
          <w:b w:val="false"/>
          <w:i w:val="false"/>
          <w:sz w:val="24"/>
        </w:rPr>
        <w:t>We look forward to hearing from you.</w:t>
      </w:r>
    </w:p>
    <w:p>
      <w:pPr>
        <w:pStyle w:val="Normal"/>
        <w:spacing w:lineRule="auto" w:line="240" w:before="0" w:after="0"/>
        <w:rPr/>
      </w:pPr>
      <w:r>
        <w:rPr/>
      </w:r>
    </w:p>
    <w:p>
      <w:pPr>
        <w:pStyle w:val="Normal"/>
        <w:spacing w:lineRule="auto" w:line="240" w:before="0" w:after="0"/>
        <w:jc w:val="left"/>
        <w:rPr/>
      </w:pPr>
      <w:r>
        <w:rPr>
          <w:b w:val="false"/>
          <w:i w:val="false"/>
          <w:sz w:val="24"/>
        </w:rPr>
        <w:t>Yours sincerely,</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left"/>
        <w:rPr/>
      </w:pPr>
      <w:r>
        <w:rPr>
          <w:b w:val="false"/>
          <w:i w:val="false"/>
          <w:sz w:val="24"/>
        </w:rPr>
        <w:t>Panagiotis Vionis, PhD</w:t>
      </w:r>
    </w:p>
    <w:p>
      <w:pPr>
        <w:pStyle w:val="Normal"/>
        <w:spacing w:lineRule="auto" w:line="240" w:before="0" w:after="0"/>
        <w:jc w:val="left"/>
        <w:rPr/>
      </w:pPr>
      <w:r>
        <w:rPr>
          <w:b w:val="false"/>
          <w:i w:val="false"/>
          <w:sz w:val="24"/>
        </w:rPr>
        <w:t>Department of Business and Organization Administration</w:t>
      </w:r>
    </w:p>
    <w:p>
      <w:pPr>
        <w:pStyle w:val="Normal"/>
        <w:spacing w:lineRule="auto" w:line="240" w:before="0" w:after="0"/>
        <w:jc w:val="left"/>
        <w:rPr/>
      </w:pPr>
      <w:r>
        <w:rPr>
          <w:b w:val="false"/>
          <w:i w:val="false"/>
          <w:sz w:val="24"/>
        </w:rPr>
        <w:t>University of Peloponnese, Kalamata, Greece</w:t>
      </w:r>
    </w:p>
    <w:p>
      <w:pPr>
        <w:pStyle w:val="Normal"/>
        <w:spacing w:lineRule="auto" w:line="240" w:before="0" w:after="0"/>
        <w:jc w:val="left"/>
        <w:rPr/>
      </w:pPr>
      <w:r>
        <w:rPr>
          <w:b w:val="false"/>
          <w:i w:val="false"/>
          <w:sz w:val="24"/>
        </w:rPr>
        <w:t>panagiotisvionis@gmail.com</w:t>
      </w:r>
    </w:p>
    <w:p>
      <w:pPr>
        <w:pStyle w:val="Normal"/>
        <w:spacing w:lineRule="auto" w:line="240" w:before="0" w:after="0"/>
        <w:rPr/>
      </w:pPr>
      <w:r>
        <w:rPr/>
      </w:r>
    </w:p>
    <w:p>
      <w:pPr>
        <w:pStyle w:val="Normal"/>
        <w:spacing w:lineRule="auto" w:line="240" w:before="0" w:after="80"/>
        <w:rPr/>
      </w:pPr>
      <w:r>
        <w:rPr>
          <w:b w:val="false"/>
          <w:i/>
          <w:sz w:val="24"/>
        </w:rPr>
        <w:t>On behalf of all co-authors:</w:t>
      </w:r>
    </w:p>
    <w:p>
      <w:pPr>
        <w:pStyle w:val="Normal"/>
        <w:spacing w:lineRule="auto" w:line="240" w:before="0" w:after="0"/>
        <w:jc w:val="left"/>
        <w:rPr/>
      </w:pPr>
      <w:r>
        <w:rPr>
          <w:b w:val="false"/>
          <w:i w:val="false"/>
          <w:sz w:val="24"/>
        </w:rPr>
        <w:t>Eleni Christidou, Sandy Christidou, Theodore Kotsilieris</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2</Pages>
  <Words>405</Words>
  <Characters>2642</Characters>
  <CharactersWithSpaces>3010</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2026-06-27T23:38:24Z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