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Basic IT tools - Writing scientific documents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ΓΕΝ009</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1st</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Basic IT tools - Writing scientific documents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1</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0</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General Knowledge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explain computer functions and operations, outline the benefits for civil engineers, choose and evaluate Internet resources, comply with third-party intellectual rights.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promotes the following skills:</w:t>
              <w:br/>
              <w:t xml:space="preserve">- Working independently </w:t>
              <w:br/>
              <w:t xml:space="preserve">- Team work</w:t>
              <w:br/>
              <w:t xml:space="preserve">- Decision-making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Computer operating systems, Windows basic operations, introduction to Word, (equations, tables, images, shapes, alignment, headers, footers), Introduction to Excel (programming simple problems, graphical representations and processing of experimental data and functions,), IF command, solving problems in Linear Algebra using predefined functions, rules for writing scientific texts, structure of a scientific assignment, bibliography and references, searching scientific databases, intellectual rights and plagiarism (use of third-party text, images, shapes), references in text.</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course webpage,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examination (, open ended questions, problem solving questions)</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Kavousanos, E., Applications of mathematical calculus - Excel presentations, Benou (Ed.), - Παρουσίαση με την χρήση του excel, Εκδόσεις Μπένου, 2012, ISBN: 978-960-8249-93-6
</w:t>
        <w:br/>
        <w:t xml:space="preserve">[In Greek]. Kouimtzis, N. Comptaional Excel application for engineers, Zit (Ed.) 2006, ISBN: 960-431-994-9 
</w:t>
        <w:br/>
        <w:t xml:space="preserve">[In Greek]. Vozikis Christos, Intellectual property rights: clearing Open Academic Courses from third-party Intellectual property rights., TEI Central Macedonia Creative Commons: Attribution-ShareAlike 4.0
</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