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Computer Programming</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ΓΕΝ006</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2nd</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Computer Programming</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3</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3</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Background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define the way computers work, basic principles of programming, the value of computers for civil engineering, build short programs for engineering applications, calculate numerical problems for civil engineering though computer programming.</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 Working independently 
</w:t>
              <w:br/>
              <w:t xml:space="preserve">- Team work
</w:t>
              <w:br/>
              <w:t xml:space="preserve">- Decision-making 
</w:t>
              <w:br/>
              <w:t xml:space="preserve">- Criticism and self-criticism 
</w:t>
              <w:br/>
              <w:t xml:space="preserve">- Production of free, creative and inductive thinking
</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Introduction to programming. Algorithms and flowcharts. Matlab environment (Octave). Command line. Constants, variables, arrays, library functions. Arithmetic operations with scalar variables and arrays. Help commands and files. Writing programs. .m Files. Input and output commands (input, disp, fprintf). User-defined functions using inline. Program execution. Debugging. Decision-making statements (if, switch). Looping statements (for, while). Counters, accumulators. Array indexing. Graphical representations. Plotting commands (plot, figure, hold, axis, xlabel, ylabel, title, plot3). 3D graphs (meshgrid, mesh, surf, contour). User-defined functions using the 'function' keyword. function calls. recursion. Data files, reading, writing. Symbolic toolbox. Symbolic variables, functions, roots, derivatives, integrals, differential equations. Data modeling: curve fitting, curve fitting in Matlab</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The course is taght in a computer cluster room with Matlab/(Octave clone) and open source GNU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13</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Practice/exercises</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39</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78</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Written final examination (50% of the final grade) that includes:
</w:t>
              <w:br/>
              <w:t xml:space="preserve">•</w:t>
            </w:r>
            <w:r>
              <w:rPr>
                <w:rFonts w:asciiTheme="minorHAnsi" w:hAnsiTheme="minorHAnsi" w:cstheme="minorHAnsi"/>
                <w:color w:val="002060"/>
                <w:lang w:val="en-GB"/>
              </w:rPr>
              <w:tab/>
            </w:r>
            <w:r>
              <w:rPr>
                <w:rFonts w:asciiTheme="minorHAnsi" w:hAnsiTheme="minorHAnsi" w:cstheme="minorHAnsi"/>
                <w:color w:val="002060"/>
                <w:lang w:val="en-GB"/>
              </w:rPr>
              <w:t xml:space="preserve">Open ended questions 
</w:t>
              <w:br/>
              <w:t xml:space="preserve">•</w:t>
            </w:r>
            <w:r>
              <w:rPr>
                <w:rFonts w:asciiTheme="minorHAnsi" w:hAnsiTheme="minorHAnsi" w:cstheme="minorHAnsi"/>
                <w:color w:val="002060"/>
                <w:lang w:val="en-GB"/>
              </w:rPr>
              <w:tab/>
            </w:r>
            <w:r>
              <w:rPr>
                <w:rFonts w:asciiTheme="minorHAnsi" w:hAnsiTheme="minorHAnsi" w:cstheme="minorHAnsi"/>
                <w:color w:val="002060"/>
                <w:lang w:val="en-GB"/>
              </w:rPr>
              <w:t xml:space="preserve">Problem-solving exercises 
</w:t>
              <w:br/>
              <w:t xml:space="preserve">•</w:t>
            </w:r>
            <w:r>
              <w:rPr>
                <w:rFonts w:asciiTheme="minorHAnsi" w:hAnsiTheme="minorHAnsi" w:cstheme="minorHAnsi"/>
                <w:color w:val="002060"/>
                <w:lang w:val="en-GB"/>
              </w:rPr>
              <w:tab/>
            </w:r>
            <w:r>
              <w:rPr>
                <w:rFonts w:asciiTheme="minorHAnsi" w:hAnsiTheme="minorHAnsi" w:cstheme="minorHAnsi"/>
                <w:color w:val="002060"/>
                <w:lang w:val="en-GB"/>
              </w:rPr>
              <w:t xml:space="preserve">Group written assignment (2/3 students) (30% of the final grade) 
</w:t>
              <w:br/>
              <w:t xml:space="preserve">•</w:t>
            </w:r>
            <w:r>
              <w:rPr>
                <w:rFonts w:asciiTheme="minorHAnsi" w:hAnsiTheme="minorHAnsi" w:cstheme="minorHAnsi"/>
                <w:color w:val="002060"/>
                <w:lang w:val="en-GB"/>
              </w:rPr>
              <w:tab/>
            </w:r>
            <w:r>
              <w:rPr>
                <w:rFonts w:asciiTheme="minorHAnsi" w:hAnsiTheme="minorHAnsi" w:cstheme="minorHAnsi"/>
                <w:color w:val="002060"/>
                <w:lang w:val="en-GB"/>
              </w:rPr>
              <w:t xml:space="preserve">Individual laboratory work during the course (20% of the final grade).
</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-[In Greek]. Γραββάνης Γιώργος, Γιαννουτάκης Κωνσταντίνος, Προγραμματισμός με τη Χρήση Matlab,
</w:t>
        <w:br/>
        <w:t xml:space="preserve">Εκδόσεις Α. ΠΑΠΑΣΩΤΗΡΙΟΥ  ΣΙΑ ΟΕ, 2012, ISBN: 978-960-491-057-1
</w:t>
        <w:br/>
        <w:t xml:space="preserve">-[In Greek]. Stormy Attaway, Matlab: Μια πρακτική εισαγωγή στον προγραμματισμό και την επίλυση
</w:t>
        <w:br/>
        <w:t xml:space="preserve">προβλημάτων, Εκδόσεις Κλειδάριθμος ΕΠΕ, 2016, ISBN: 978-960-461-663-3
</w:t>
        <w:br/>
        <w:t xml:space="preserve">-[In Greek]. Musto J., Howard W., Williams R., Υπολογιστική Μηχανική με Matlab και Excel, Εκδόσεις
</w:t>
        <w:br/>
        <w:t xml:space="preserve">Τζιόλα, 2015, ISBN: 978-960-418-504-7</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