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Strength of Materials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ΔΟΜ009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Strength of Materials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• Evaluation of materials according to the laws of behavior.</w:t>
              <w:br/>
              <w:t xml:space="preserve">• Understanding the response and behaviour due to various loads.</w:t>
              <w:br/>
              <w:t xml:space="preserve">• Ability to dimension structural elements. Selection of critical sections.</w:t>
              <w:br/>
              <w:t xml:space="preserve">• Calculation of deformations - displacements.</w:t>
              <w:br/>
              <w:t xml:space="preserve">• Assessment of structural material failure.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Classification of materials. Behavior law of structural steel. Proportional limit, elasticity, and yield point. Strengthening. Necking phenomenon. Behavior law of ductile materials.</w:t>
              <w:br/>
              <w:t xml:space="preserve"> • Bending theory: Moment of inertia. Pure bending. Bending with axial force. Biaxial bending. Neutral axis. Cross-section core.</w:t>
              <w:br/>
              <w:t xml:space="preserve"> • Pure shear. Shear due to bending of symmetrical sections. Distribution of shear stresses along the height.</w:t>
              <w:br/>
              <w:t xml:space="preserve"> • Elastic line of a beam. Calculation of the elastic line - deflection of beams using the method of double integration.</w:t>
              <w:br/>
              <w:t xml:space="preserve"> • Torsion theory: Torsion of beams of circular cross-section and cross-section of circular ring. Torsion of beams with rectangular cross-section.</w:t>
              <w:br/>
              <w:t xml:space="preserve"> • Buckling of rods and columns. Combined stress of a beam with axial and transverse loads. Large deformations of structures subjected to bending, second-order phenomena.</w:t>
              <w:br/>
              <w:t xml:space="preserve"> • Applications of deformation compatibility conditions.</w:t>
              <w:br/>
              <w:t xml:space="preserve"> • Material failure: Density theory of the rotational energy of deformations (Mises), maximum shear stress theory (Tresca), internal friction theory (Mohr - Coulomb).</w:t>
              <w:br/>
              <w:t xml:space="preserve"> • Cyclic loads. Material fatigue.</w:t>
              <w:br/>
              <w:t xml:space="preserve"> • Creep and relaxation of materials.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http://users.teilar.gr/~p.lokkas/Ant_Yl.pdf</w:t>
        <w:br/>
        <w:t xml:space="preserve">R. L. Mott, «Applied Strength of Materials», CRC Press, 2015.</w:t>
        <w:br/>
        <w:t xml:space="preserve">Vouthounis P.: «Strength Materials and Mechanics of Deformable Bodies», Vouthounis publ., 2017 (in Greek).</w:t>
        <w:br/>
        <w:t xml:space="preserve">Vardoulakis Ι., «Mechanics of Deformable Solids Bodies ΙΙ», Symmetry publ., 1999 (in Greek).</w:t>
        <w:br/>
        <w:t xml:space="preserve">Tsamasfyeos G., «Mechanics of Deformable Bodies Ι», Symmetry publ., 1990 (in Greek).</w:t>
        <w:br/>
        <w:t xml:space="preserve">Velaoras G. «Strength of Materials». 2nd ed. Ion publ., 1997 (in Greek).</w:t>
        <w:br/>
        <w:t xml:space="preserve">Beer F. - Johnston R. - DeWolf J. - Mazurek D., «Mechanics of Materials», Tziolas, 2015.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