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Structural Analysis II – Indeterminate structures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ΔΟΜ014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Structural Analysis II – Indeterminate structures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http://elearning.teicm.gr/course/view.php?id=228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Comprehend the degree of indeterminacy. Analyse statically indeterminate structures. Compute, displacements and rotations. Determine the influence of temperature changes  and support movements on structural response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-Search for, analysis and synthesis of data and information, with the use of the necessary technology </w:t>
              <w:br/>
              <w:t xml:space="preserve">-Adapting to new situations </w:t>
              <w:br/>
              <w:t xml:space="preserve">-Decision-making </w:t>
              <w:br/>
              <w:t xml:space="preserve">-Working independently </w:t>
              <w:br/>
              <w:t xml:space="preserve">-Team work</w:t>
              <w:br/>
              <w:t xml:space="preserve">-Working in an interdisciplinary environment </w:t>
              <w:br/>
              <w:t xml:space="preserve">-Project planning and management </w:t>
              <w:br/>
              <w:t xml:space="preserve">-Criticism and self-criticism </w:t>
              <w:br/>
              <w:t xml:space="preserve">-Production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Introduction to statically indeterminate structures. Differences between statically determinate and indeterminate structures</w:t>
              <w:br/>
              <w:t xml:space="preserve">Deformation Method (Method of Nodal Displacements). Application to plane structures. Symmetry of structures and loading.Support retreat, settlements, elastic supports, thermal loads.</w:t>
              <w:br/>
              <w:t xml:space="preserve">Force Method. Application to plane structures, frames and trusses. Comparison to the Deformation Method </w:t>
              <w:br/>
              <w:t xml:space="preserve">Influence lines of indeterminate structures. Müller-Breslau Principle. Computation of the extreme response values.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Communication via e-mail and Zoom platform.</w:t>
              <w:br/>
              <w:t xml:space="preserve">Additional material is provided via a dedicated e-learning  website.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40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12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Formative evaluation consisted of: </w:t>
              <w:br/>
              <w:t xml:space="preserve">1.Non-compulsory intermediate tests (2 to 3 in total) focused on solving problems (30% of final mark)</w:t>
              <w:br/>
              <w:t xml:space="preserve">2. Final written exams that includes: a. Theoretical questions of knowledge and critical thinking and b .Solving of problems-exercises (70% of final mark)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Ghaliand, A. and Neville, A.M.(1989), Structural Analysis, a unified classical and and Matrix Approach, Chapman and Hall.</w:t>
        <w:br/>
        <w:t xml:space="preserve">Hibbeler R.C. (2002), Structural Analysis, Prentice Hall.</w:t>
        <w:br/>
        <w:t xml:space="preserve">W.Wagner and G. Erlhog (2012), Applied Statics, ΚΛΕΙΔΑΡΙΘΜΟΣ publication (Greek translation from German).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