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3E8DD" w14:textId="432AD170" w:rsidR="0083298D" w:rsidRPr="00AB7CBF" w:rsidRDefault="00B458C7" w:rsidP="00B458C7">
      <w:pPr>
        <w:pStyle w:val="Heading3"/>
        <w:rPr>
          <w:rFonts w:asciiTheme="minorHAnsi" w:hAnsiTheme="minorHAnsi" w:cstheme="minorHAnsi"/>
        </w:rPr>
      </w:pPr>
      <w:r w:rsidRPr="00AB7CBF">
        <w:rPr>
          <w:rFonts w:asciiTheme="minorHAnsi" w:hAnsiTheme="minorHAnsi" w:cstheme="minorHAnsi"/>
        </w:rPr>
        <w:t xml:space="preserve">Dynamics of Structures I</w:t>
      </w:r>
    </w:p>
    <w:p w14:paraId="63C935DB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GENERAL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45"/>
        <w:gridCol w:w="1057"/>
        <w:gridCol w:w="1125"/>
        <w:gridCol w:w="1765"/>
        <w:gridCol w:w="349"/>
        <w:gridCol w:w="1975"/>
      </w:tblGrid>
      <w:tr w:rsidR="0083298D" w:rsidRPr="00AB7CBF" w14:paraId="19BD9073" w14:textId="77777777" w:rsidTr="002045D7">
        <w:tc>
          <w:tcPr>
            <w:tcW w:w="3205" w:type="dxa"/>
            <w:shd w:val="clear" w:color="auto" w:fill="DDD9C3"/>
          </w:tcPr>
          <w:p w14:paraId="39240F0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SCHOOL</w:t>
            </w:r>
          </w:p>
        </w:tc>
        <w:tc>
          <w:tcPr>
            <w:tcW w:w="5231" w:type="dxa"/>
            <w:gridSpan w:val="5"/>
          </w:tcPr>
          <w:p w14:paraId="3760DAFB" w14:textId="2E33EC4F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Engineering</w:t>
            </w:r>
          </w:p>
        </w:tc>
      </w:tr>
      <w:tr w:rsidR="0083298D" w:rsidRPr="00AB7CBF" w14:paraId="61197635" w14:textId="77777777" w:rsidTr="002045D7">
        <w:tc>
          <w:tcPr>
            <w:tcW w:w="3205" w:type="dxa"/>
            <w:shd w:val="clear" w:color="auto" w:fill="DDD9C3"/>
          </w:tcPr>
          <w:p w14:paraId="185B4746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ACADEMIC UNIT</w:t>
            </w:r>
          </w:p>
        </w:tc>
        <w:tc>
          <w:tcPr>
            <w:tcW w:w="5231" w:type="dxa"/>
            <w:gridSpan w:val="5"/>
          </w:tcPr>
          <w:p w14:paraId="00CA0474" w14:textId="4A9A3C2A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aps/>
                <w:color w:val="002060"/>
                <w:sz w:val="20"/>
                <w:szCs w:val="20"/>
                <w:lang w:val="en-US"/>
              </w:rPr>
              <w:t xml:space="preserve">Civil Engineering</w:t>
            </w:r>
          </w:p>
        </w:tc>
      </w:tr>
      <w:tr w:rsidR="0083298D" w:rsidRPr="00AB7CBF" w14:paraId="2FED0362" w14:textId="77777777" w:rsidTr="002045D7">
        <w:tc>
          <w:tcPr>
            <w:tcW w:w="3205" w:type="dxa"/>
            <w:shd w:val="clear" w:color="auto" w:fill="DDD9C3"/>
          </w:tcPr>
          <w:p w14:paraId="28D8C592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LEVEL OF STUDIES</w:t>
            </w:r>
          </w:p>
        </w:tc>
        <w:tc>
          <w:tcPr>
            <w:tcW w:w="5231" w:type="dxa"/>
            <w:gridSpan w:val="5"/>
          </w:tcPr>
          <w:p w14:paraId="1F2029B7" w14:textId="4786D3F7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Undergraduate</w:t>
            </w:r>
          </w:p>
        </w:tc>
      </w:tr>
      <w:tr w:rsidR="0083298D" w:rsidRPr="00AB7CBF" w14:paraId="6E8FFAC9" w14:textId="77777777" w:rsidTr="002045D7">
        <w:tc>
          <w:tcPr>
            <w:tcW w:w="3205" w:type="dxa"/>
            <w:shd w:val="clear" w:color="auto" w:fill="DDD9C3"/>
          </w:tcPr>
          <w:p w14:paraId="32A79F6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CODE</w:t>
            </w:r>
          </w:p>
        </w:tc>
        <w:tc>
          <w:tcPr>
            <w:tcW w:w="1135" w:type="dxa"/>
          </w:tcPr>
          <w:p w14:paraId="639AA288" w14:textId="56AA1A24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ΔΟΜ015</w:t>
            </w:r>
          </w:p>
        </w:tc>
        <w:tc>
          <w:tcPr>
            <w:tcW w:w="2505" w:type="dxa"/>
            <w:gridSpan w:val="2"/>
            <w:shd w:val="clear" w:color="auto" w:fill="DDD9C3"/>
          </w:tcPr>
          <w:p w14:paraId="3E5A282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SEMESTER</w:t>
            </w:r>
          </w:p>
        </w:tc>
        <w:tc>
          <w:tcPr>
            <w:tcW w:w="1591" w:type="dxa"/>
            <w:gridSpan w:val="2"/>
          </w:tcPr>
          <w:p w14:paraId="23C242F8" w14:textId="23461F65" w:rsidR="0083298D" w:rsidRPr="00AB7CBF" w:rsidRDefault="002748F7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6th</w:t>
            </w:r>
          </w:p>
        </w:tc>
      </w:tr>
      <w:tr w:rsidR="0083298D" w:rsidRPr="00AB7CBF" w14:paraId="72D7C0C0" w14:textId="77777777" w:rsidTr="002045D7">
        <w:trPr>
          <w:trHeight w:val="375"/>
        </w:trPr>
        <w:tc>
          <w:tcPr>
            <w:tcW w:w="3205" w:type="dxa"/>
            <w:shd w:val="clear" w:color="auto" w:fill="DDD9C3"/>
            <w:vAlign w:val="center"/>
          </w:tcPr>
          <w:p w14:paraId="2494D0EE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TITLE</w:t>
            </w:r>
          </w:p>
        </w:tc>
        <w:tc>
          <w:tcPr>
            <w:tcW w:w="5231" w:type="dxa"/>
            <w:gridSpan w:val="5"/>
            <w:vAlign w:val="center"/>
          </w:tcPr>
          <w:p w14:paraId="7C20011D" w14:textId="71B06D55" w:rsidR="0083298D" w:rsidRPr="00AB7CBF" w:rsidRDefault="002748F7" w:rsidP="002045D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bookmarkStart w:id="0" w:name="_Hlk137582230"/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Dynamics of Structures I</w:t>
            </w:r>
            <w:bookmarkEnd w:id="0"/>
          </w:p>
        </w:tc>
      </w:tr>
      <w:tr w:rsidR="0083298D" w:rsidRPr="00AB7CBF" w14:paraId="3DE96E8A" w14:textId="77777777" w:rsidTr="002045D7">
        <w:trPr>
          <w:trHeight w:val="196"/>
        </w:trPr>
        <w:tc>
          <w:tcPr>
            <w:tcW w:w="5637" w:type="dxa"/>
            <w:gridSpan w:val="3"/>
            <w:shd w:val="clear" w:color="auto" w:fill="DDD9C3"/>
            <w:vAlign w:val="center"/>
          </w:tcPr>
          <w:p w14:paraId="5A0A7278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INDEPENDENT TEACHING ACTIVITIES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if credits are awarded for separate components of the course, </w:t>
            </w:r>
            <w:proofErr w:type="gramStart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e.g.</w:t>
            </w:r>
            <w:proofErr w:type="gramEnd"/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 xml:space="preserve"> lectures, laboratory exercises, etc. If the credits are awarded for the whole of the course, give the weekly teaching hours and the total credits</w:t>
            </w:r>
          </w:p>
        </w:tc>
        <w:tc>
          <w:tcPr>
            <w:tcW w:w="1559" w:type="dxa"/>
            <w:gridSpan w:val="2"/>
            <w:shd w:val="clear" w:color="auto" w:fill="DDD9C3"/>
            <w:vAlign w:val="center"/>
          </w:tcPr>
          <w:p w14:paraId="5DD65503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WEEKLY TEACHING HOURS</w:t>
            </w:r>
          </w:p>
        </w:tc>
        <w:tc>
          <w:tcPr>
            <w:tcW w:w="1240" w:type="dxa"/>
            <w:shd w:val="clear" w:color="auto" w:fill="DDD9C3"/>
            <w:vAlign w:val="center"/>
          </w:tcPr>
          <w:p w14:paraId="028831C1" w14:textId="77777777" w:rsidR="0083298D" w:rsidRPr="00AB7CBF" w:rsidRDefault="0083298D" w:rsidP="002045D7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CREDITS</w:t>
            </w:r>
          </w:p>
        </w:tc>
      </w:tr>
      <w:tr w:rsidR="0083298D" w:rsidRPr="00AB7CBF" w14:paraId="07BD9315" w14:textId="77777777" w:rsidTr="002045D7">
        <w:trPr>
          <w:trHeight w:val="194"/>
        </w:trPr>
        <w:tc>
          <w:tcPr>
            <w:tcW w:w="5637" w:type="dxa"/>
            <w:gridSpan w:val="3"/>
          </w:tcPr>
          <w:p w14:paraId="3F426B2B" w14:textId="3E230600" w:rsidR="0083298D" w:rsidRPr="00AB7CBF" w:rsidRDefault="002748F7" w:rsidP="002045D7">
            <w:pPr>
              <w:jc w:val="right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  <w:vAlign w:val="center"/>
          </w:tcPr>
          <w:p w14:paraId="72162297" w14:textId="4C40C735" w:rsidR="0083298D" w:rsidRPr="00AB7CBF" w:rsidRDefault="002748F7" w:rsidP="002748F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4</w:t>
            </w:r>
          </w:p>
        </w:tc>
        <w:tc>
          <w:tcPr>
            <w:tcW w:w="1240" w:type="dxa"/>
            <w:vAlign w:val="center"/>
          </w:tcPr>
          <w:p w14:paraId="5639F01E" w14:textId="74AA74F3" w:rsidR="0083298D" w:rsidRPr="00AB7CBF" w:rsidRDefault="002748F7" w:rsidP="002045D7">
            <w:pPr>
              <w:jc w:val="center"/>
              <w:rPr>
                <w:rFonts w:asciiTheme="minorHAnsi" w:eastAsia="Arial Unicode MS" w:hAnsiTheme="minorHAnsi" w:cstheme="minorHAnsi"/>
                <w:color w:val="002060"/>
                <w:sz w:val="16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5</w:t>
            </w:r>
          </w:p>
        </w:tc>
      </w:tr>
      <w:tr w:rsidR="0083298D" w:rsidRPr="00AB7CBF" w14:paraId="74E91511" w14:textId="77777777" w:rsidTr="002045D7">
        <w:trPr>
          <w:trHeight w:val="194"/>
        </w:trPr>
        <w:tc>
          <w:tcPr>
            <w:tcW w:w="5637" w:type="dxa"/>
            <w:gridSpan w:val="3"/>
          </w:tcPr>
          <w:p w14:paraId="0EC03A7D" w14:textId="650ECDEB" w:rsidR="0083298D" w:rsidRPr="00AB7CBF" w:rsidRDefault="002748F7" w:rsidP="002748F7">
            <w:pPr>
              <w:jc w:val="right"/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559" w:type="dxa"/>
            <w:gridSpan w:val="2"/>
          </w:tcPr>
          <w:p w14:paraId="7F90872D" w14:textId="5E3E868F" w:rsidR="0083298D" w:rsidRPr="00AB7CBF" w:rsidRDefault="002748F7" w:rsidP="002748F7">
            <w:pPr>
              <w:jc w:val="center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240" w:type="dxa"/>
          </w:tcPr>
          <w:p w14:paraId="669ECB45" w14:textId="2FF6D490" w:rsidR="0083298D" w:rsidRPr="00AB7CBF" w:rsidRDefault="002748F7" w:rsidP="002748F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30349DE9" w14:textId="77777777" w:rsidTr="002045D7">
        <w:trPr>
          <w:trHeight w:val="194"/>
        </w:trPr>
        <w:tc>
          <w:tcPr>
            <w:tcW w:w="5637" w:type="dxa"/>
            <w:gridSpan w:val="3"/>
          </w:tcPr>
          <w:p w14:paraId="2CDA28CF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559" w:type="dxa"/>
            <w:gridSpan w:val="2"/>
          </w:tcPr>
          <w:p w14:paraId="485C5BF3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1A404F73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28C7013C" w14:textId="77777777" w:rsidTr="002045D7">
        <w:trPr>
          <w:trHeight w:val="194"/>
        </w:trPr>
        <w:tc>
          <w:tcPr>
            <w:tcW w:w="5637" w:type="dxa"/>
            <w:gridSpan w:val="3"/>
            <w:shd w:val="clear" w:color="auto" w:fill="DDD9C3"/>
          </w:tcPr>
          <w:p w14:paraId="6D9AB0C9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8"/>
                <w:szCs w:val="18"/>
                <w:lang w:val="en-GB"/>
              </w:rPr>
              <w:t>Add rows if necessary. The organisation of teaching and the teaching methods used are described in detail at (d).</w:t>
            </w:r>
          </w:p>
        </w:tc>
        <w:tc>
          <w:tcPr>
            <w:tcW w:w="1559" w:type="dxa"/>
            <w:gridSpan w:val="2"/>
          </w:tcPr>
          <w:p w14:paraId="627CF140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  <w:tc>
          <w:tcPr>
            <w:tcW w:w="1240" w:type="dxa"/>
          </w:tcPr>
          <w:p w14:paraId="6E40032F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</w:p>
        </w:tc>
      </w:tr>
      <w:tr w:rsidR="0083298D" w:rsidRPr="00AB7CBF" w14:paraId="399D3A15" w14:textId="77777777" w:rsidTr="002045D7">
        <w:trPr>
          <w:trHeight w:val="599"/>
        </w:trPr>
        <w:tc>
          <w:tcPr>
            <w:tcW w:w="3205" w:type="dxa"/>
            <w:shd w:val="clear" w:color="auto" w:fill="DDD9C3"/>
          </w:tcPr>
          <w:p w14:paraId="758728A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TYPE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 </w:t>
            </w:r>
          </w:p>
          <w:p w14:paraId="5D2F3794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general background, </w:t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br/>
              <w:t>special background, specialised general knowledge, skills development</w:t>
            </w:r>
          </w:p>
        </w:tc>
        <w:tc>
          <w:tcPr>
            <w:tcW w:w="5231" w:type="dxa"/>
            <w:gridSpan w:val="5"/>
            <w:vAlign w:val="center"/>
          </w:tcPr>
          <w:p w14:paraId="7774097F" w14:textId="60CB0018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Scientific Field</w:t>
            </w:r>
          </w:p>
        </w:tc>
      </w:tr>
      <w:tr w:rsidR="0083298D" w:rsidRPr="00AB7CBF" w14:paraId="515EDE4C" w14:textId="77777777" w:rsidTr="002045D7">
        <w:tc>
          <w:tcPr>
            <w:tcW w:w="3205" w:type="dxa"/>
            <w:shd w:val="clear" w:color="auto" w:fill="DDD9C3"/>
          </w:tcPr>
          <w:p w14:paraId="5FCA15AA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PREREQUISITE COURSES:</w:t>
            </w:r>
          </w:p>
          <w:p w14:paraId="66ADF30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</w:p>
        </w:tc>
        <w:tc>
          <w:tcPr>
            <w:tcW w:w="5231" w:type="dxa"/>
            <w:gridSpan w:val="5"/>
          </w:tcPr>
          <w:p w14:paraId="3A5105F8" w14:textId="1F542270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  <w:tr w:rsidR="0083298D" w:rsidRPr="00AB7CBF" w14:paraId="54A2459D" w14:textId="77777777" w:rsidTr="002045D7">
        <w:tc>
          <w:tcPr>
            <w:tcW w:w="3205" w:type="dxa"/>
            <w:shd w:val="clear" w:color="auto" w:fill="DDD9C3"/>
          </w:tcPr>
          <w:p w14:paraId="3F82F65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LANGUAGE OF INSTRUCTION and EXAMINATIONS:</w:t>
            </w:r>
          </w:p>
        </w:tc>
        <w:tc>
          <w:tcPr>
            <w:tcW w:w="5231" w:type="dxa"/>
            <w:gridSpan w:val="5"/>
            <w:vAlign w:val="center"/>
          </w:tcPr>
          <w:p w14:paraId="1E30E3DD" w14:textId="1438CD56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Greek</w:t>
            </w:r>
          </w:p>
        </w:tc>
      </w:tr>
      <w:tr w:rsidR="0083298D" w:rsidRPr="00AB7CBF" w14:paraId="5864D6F7" w14:textId="77777777" w:rsidTr="002045D7">
        <w:tc>
          <w:tcPr>
            <w:tcW w:w="3205" w:type="dxa"/>
            <w:shd w:val="clear" w:color="auto" w:fill="DDD9C3"/>
          </w:tcPr>
          <w:p w14:paraId="705577F1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IS THE COURSE OFFERED TO ERASMUS STUDENTS</w:t>
            </w:r>
          </w:p>
        </w:tc>
        <w:tc>
          <w:tcPr>
            <w:tcW w:w="5231" w:type="dxa"/>
            <w:gridSpan w:val="5"/>
            <w:vAlign w:val="center"/>
          </w:tcPr>
          <w:p w14:paraId="19E74593" w14:textId="2C97199B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No</w:t>
            </w:r>
            <w:r w:rsidR="0083298D"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 </w:t>
            </w:r>
          </w:p>
        </w:tc>
      </w:tr>
      <w:tr w:rsidR="0083298D" w:rsidRPr="00AB7CBF" w14:paraId="4DFE5D01" w14:textId="77777777" w:rsidTr="002045D7">
        <w:tc>
          <w:tcPr>
            <w:tcW w:w="3205" w:type="dxa"/>
            <w:shd w:val="clear" w:color="auto" w:fill="DDD9C3"/>
          </w:tcPr>
          <w:p w14:paraId="2F97B545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COURSE WEBSITE (URL)</w:t>
            </w:r>
          </w:p>
        </w:tc>
        <w:tc>
          <w:tcPr>
            <w:tcW w:w="5231" w:type="dxa"/>
            <w:gridSpan w:val="5"/>
          </w:tcPr>
          <w:p w14:paraId="6A11F55A" w14:textId="7EE495A7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  <w:t xml:space="preserve">https://elearning.cm.ihu.gr/</w:t>
            </w:r>
          </w:p>
        </w:tc>
      </w:tr>
    </w:tbl>
    <w:p w14:paraId="3242CB00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12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LEARNING OUTCOMES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964"/>
        <w:gridCol w:w="4508"/>
      </w:tblGrid>
      <w:tr w:rsidR="0083298D" w:rsidRPr="00AB7CBF" w14:paraId="1335D815" w14:textId="77777777" w:rsidTr="002045D7"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47729E75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Learning outcomes</w:t>
            </w:r>
          </w:p>
        </w:tc>
      </w:tr>
      <w:tr w:rsidR="0083298D" w:rsidRPr="00AB7CBF" w14:paraId="6B98B946" w14:textId="77777777" w:rsidTr="002045D7">
        <w:tc>
          <w:tcPr>
            <w:tcW w:w="8472" w:type="dxa"/>
            <w:gridSpan w:val="2"/>
            <w:tcBorders>
              <w:top w:val="nil"/>
            </w:tcBorders>
            <w:shd w:val="clear" w:color="auto" w:fill="DDD9C3"/>
          </w:tcPr>
          <w:p w14:paraId="13AF4E7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course learning outcomes, specific knowledge, skills and competences of an appropriate level, which the students will acquire with the successful completion of the course are described.</w:t>
            </w:r>
          </w:p>
          <w:p w14:paraId="4762AF02" w14:textId="77777777" w:rsidR="0083298D" w:rsidRPr="00AB7CBF" w:rsidRDefault="0083298D" w:rsidP="002045D7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Consult Appendix A </w:t>
            </w:r>
          </w:p>
          <w:p w14:paraId="2FE0AFE7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level of learning outcomes for each qualifications cycle, according to the Qualifications Framework of the European Higher Education Area</w:t>
            </w:r>
          </w:p>
          <w:p w14:paraId="59C8F208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Descriptors for Levels 6, 7 &amp; 8 of the European Qualifications Framework for Lifelong Learning and Appendix B</w:t>
            </w:r>
          </w:p>
          <w:p w14:paraId="0CF9F0D4" w14:textId="77777777" w:rsidR="0083298D" w:rsidRPr="00AB7CBF" w:rsidRDefault="0083298D" w:rsidP="002045D7">
            <w:pPr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200" w:line="276" w:lineRule="auto"/>
              <w:ind w:left="313" w:hanging="219"/>
              <w:contextualSpacing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Guidelines for writing Learning Outcomes </w:t>
            </w:r>
          </w:p>
        </w:tc>
      </w:tr>
      <w:tr w:rsidR="0083298D" w:rsidRPr="00AB7CBF" w14:paraId="7923A519" w14:textId="77777777" w:rsidTr="002045D7">
        <w:tc>
          <w:tcPr>
            <w:tcW w:w="8472" w:type="dxa"/>
            <w:gridSpan w:val="2"/>
          </w:tcPr>
          <w:p w14:paraId="5D089E7A" w14:textId="6C063E52" w:rsidR="0083298D" w:rsidRPr="00AB7CBF" w:rsidRDefault="002748F7" w:rsidP="007265B3">
            <w:pPr>
              <w:widowControl w:val="0"/>
              <w:autoSpaceDE w:val="0"/>
              <w:autoSpaceDN w:val="0"/>
              <w:adjustRightInd w:val="0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Understand how structures respond to dynamic loads. Evaluate the critical parameters that affect the structural dynamic response. Construct and solve (analytically and/or computationally) the equation of motions for sdof and mdof systems. Interpret and use earthquake response and design spectra.</w:t>
            </w:r>
          </w:p>
          <w:p w14:paraId="2EB48577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E70E338" w14:textId="77777777" w:rsidR="0083298D" w:rsidRPr="00AB7CBF" w:rsidRDefault="0083298D" w:rsidP="007265B3">
            <w:pPr>
              <w:widowControl w:val="0"/>
              <w:autoSpaceDE w:val="0"/>
              <w:autoSpaceDN w:val="0"/>
              <w:adjustRightInd w:val="0"/>
              <w:ind w:left="72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2BC9D601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ind w:left="720"/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  <w:tr w:rsidR="0083298D" w:rsidRPr="00AB7CBF" w14:paraId="74F8B667" w14:textId="77777777" w:rsidTr="002045D7">
        <w:tblPrEx>
          <w:tblLook w:val="0000" w:firstRow="0" w:lastRow="0" w:firstColumn="0" w:lastColumn="0" w:noHBand="0" w:noVBand="0"/>
        </w:tblPrEx>
        <w:tc>
          <w:tcPr>
            <w:tcW w:w="8472" w:type="dxa"/>
            <w:gridSpan w:val="2"/>
            <w:tcBorders>
              <w:bottom w:val="nil"/>
            </w:tcBorders>
            <w:shd w:val="clear" w:color="auto" w:fill="DDD9C3"/>
          </w:tcPr>
          <w:p w14:paraId="6781ADE2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General Competences </w:t>
            </w:r>
          </w:p>
        </w:tc>
      </w:tr>
      <w:tr w:rsidR="0083298D" w:rsidRPr="00AB7CBF" w14:paraId="6A561893" w14:textId="77777777" w:rsidTr="002045D7">
        <w:tc>
          <w:tcPr>
            <w:tcW w:w="8472" w:type="dxa"/>
            <w:gridSpan w:val="2"/>
            <w:tcBorders>
              <w:top w:val="nil"/>
              <w:bottom w:val="nil"/>
            </w:tcBorders>
            <w:shd w:val="clear" w:color="auto" w:fill="DDD9C3"/>
          </w:tcPr>
          <w:p w14:paraId="047A7E9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spacing w:after="6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Taking into consideration the general competences that the degree-holder must acquire (as these appear in the Diploma Supplement and appear below), at which of the following does the course aim?</w:t>
            </w:r>
          </w:p>
        </w:tc>
      </w:tr>
      <w:tr w:rsidR="0083298D" w:rsidRPr="00AB7CBF" w14:paraId="3C7ED3E3" w14:textId="77777777" w:rsidTr="002045D7">
        <w:tblPrEx>
          <w:tblLook w:val="0000" w:firstRow="0" w:lastRow="0" w:firstColumn="0" w:lastColumn="0" w:noHBand="0" w:noVBand="0"/>
        </w:tblPrEx>
        <w:tc>
          <w:tcPr>
            <w:tcW w:w="3964" w:type="dxa"/>
            <w:tcBorders>
              <w:top w:val="nil"/>
              <w:bottom w:val="single" w:sz="4" w:space="0" w:color="auto"/>
              <w:right w:val="nil"/>
            </w:tcBorders>
            <w:shd w:val="clear" w:color="auto" w:fill="DDD9C3"/>
          </w:tcPr>
          <w:p w14:paraId="03F9BD7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Search for, analysis and synthesis of data and information, with the use of the necessary technology </w:t>
            </w:r>
          </w:p>
          <w:p w14:paraId="1EE512B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Adapting to new situations </w:t>
            </w:r>
          </w:p>
          <w:p w14:paraId="550C6DBE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Decision-making </w:t>
            </w:r>
          </w:p>
          <w:p w14:paraId="58DAFBB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independently </w:t>
            </w:r>
          </w:p>
          <w:p w14:paraId="63F8B38A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Team work</w:t>
            </w:r>
          </w:p>
          <w:p w14:paraId="570C9736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international environment </w:t>
            </w:r>
          </w:p>
          <w:p w14:paraId="1911E9E8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Working in an interdisciplinary environment </w:t>
            </w:r>
          </w:p>
          <w:p w14:paraId="5F472359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Production of new research ideas </w:t>
            </w:r>
          </w:p>
        </w:tc>
        <w:tc>
          <w:tcPr>
            <w:tcW w:w="4508" w:type="dxa"/>
            <w:tcBorders>
              <w:top w:val="nil"/>
              <w:left w:val="nil"/>
              <w:bottom w:val="single" w:sz="4" w:space="0" w:color="auto"/>
            </w:tcBorders>
            <w:shd w:val="clear" w:color="auto" w:fill="DDD9C3"/>
          </w:tcPr>
          <w:p w14:paraId="472404C5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Project planning and management </w:t>
            </w:r>
          </w:p>
          <w:p w14:paraId="4BD7C192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difference and multiculturalism </w:t>
            </w:r>
          </w:p>
          <w:p w14:paraId="2F29ED3C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Respect for the natural environment </w:t>
            </w:r>
          </w:p>
          <w:p w14:paraId="767EDF8D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Showing social, professional and ethical responsibility and sensitivity to gender issues </w:t>
            </w:r>
          </w:p>
          <w:p w14:paraId="7C530C5F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 xml:space="preserve">Criticism and self-criticism </w:t>
            </w:r>
          </w:p>
          <w:p w14:paraId="190E84F0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Production of free, creative and inductive thinking</w:t>
            </w:r>
          </w:p>
          <w:p w14:paraId="5D0E985E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</w:t>
            </w:r>
          </w:p>
          <w:p w14:paraId="13F83C4C" w14:textId="77777777" w:rsidR="0083298D" w:rsidRPr="00AB7CBF" w:rsidRDefault="0083298D" w:rsidP="002045D7">
            <w:pPr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Others…</w:t>
            </w:r>
          </w:p>
          <w:p w14:paraId="352DE389" w14:textId="77777777" w:rsidR="0083298D" w:rsidRPr="00AB7CBF" w:rsidRDefault="0083298D" w:rsidP="002045D7">
            <w:pPr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…….</w:t>
            </w:r>
          </w:p>
        </w:tc>
      </w:tr>
      <w:tr w:rsidR="0083298D" w:rsidRPr="00AB7CBF" w14:paraId="26AD99E0" w14:textId="77777777" w:rsidTr="002045D7">
        <w:tc>
          <w:tcPr>
            <w:tcW w:w="8472" w:type="dxa"/>
            <w:gridSpan w:val="2"/>
            <w:tcBorders>
              <w:bottom w:val="single" w:sz="4" w:space="0" w:color="auto"/>
            </w:tcBorders>
          </w:tcPr>
          <w:p w14:paraId="6893927D" w14:textId="2D5C626E" w:rsidR="0083298D" w:rsidRPr="00AB7CBF" w:rsidRDefault="002748F7" w:rsidP="002045D7">
            <w:pPr>
              <w:rPr>
                <w:rFonts w:asciiTheme="minorHAnsi" w:hAnsiTheme="minorHAnsi" w:cstheme="minorHAnsi"/>
                <w:color w:val="002060"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-Search for, analysis and synthesis of data and information, with the use of the necessary technology </w:t>
              <w:br/>
              <w:t xml:space="preserve">-Adapting to new situations </w:t>
              <w:br/>
              <w:t xml:space="preserve">-Decision-making </w:t>
              <w:br/>
              <w:t xml:space="preserve">-Working independently </w:t>
              <w:br/>
              <w:t xml:space="preserve">-Team work</w:t>
              <w:br/>
              <w:t xml:space="preserve">-Working in an interdisciplinary environment </w:t>
              <w:br/>
              <w:t xml:space="preserve">-Project planning and management </w:t>
              <w:br/>
              <w:t xml:space="preserve">-Criticism and self-criticism </w:t>
              <w:br/>
              <w:t xml:space="preserve">-Production of free, creative and inductive thinking</w:t>
            </w:r>
          </w:p>
          <w:p w14:paraId="0067BC40" w14:textId="77777777" w:rsidR="0083298D" w:rsidRPr="00AB7CBF" w:rsidRDefault="0083298D" w:rsidP="002045D7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</w:tc>
      </w:tr>
    </w:tbl>
    <w:p w14:paraId="6CF4E9CF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lastRenderedPageBreak/>
        <w:t>SYLLABUS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72"/>
      </w:tblGrid>
      <w:tr w:rsidR="0083298D" w:rsidRPr="00AB7CBF" w14:paraId="354D8CFF" w14:textId="77777777" w:rsidTr="002045D7">
        <w:tc>
          <w:tcPr>
            <w:tcW w:w="8472" w:type="dxa"/>
          </w:tcPr>
          <w:p w14:paraId="186CE52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>Differences between static and dynamic response of structures. Dynamic loads. Degrees of freedom. Formulation of equation of motion.</w:t>
              <w:br/>
              <w:t xml:space="preserve">Systems with one degree of freedom (sdof):</w:t>
              <w:br/>
              <w:t xml:space="preserve">Free undamped and damped vibrations. Forced vibrations under harmonic and impulsive forces.</w:t>
              <w:br/>
              <w:t xml:space="preserve">Forced undamped and damped vibrations for any external load. Duhamel integral. </w:t>
              <w:br/>
              <w:t xml:space="preserve">Response under ground motion. Numerical calculation of dynamic response.Response spectra.</w:t>
              <w:br/>
              <w:t xml:space="preserve">Systems with many degrees of freedom (mdof):</w:t>
              <w:br/>
              <w:t xml:space="preserve">Formulation of mass and stiffness matrices. Free vibration. Eigenfrequencieses and modeal shapes. Orthogonality properties.</w:t>
              <w:br/>
              <w:t xml:space="preserve">Forced vibations. Generalized mass, stiffness, external force. Decoupling techniques for the evaluation of dynamic response.</w:t>
            </w:r>
          </w:p>
          <w:p w14:paraId="24A1044F" w14:textId="77777777" w:rsidR="002748F7" w:rsidRPr="00AB7CBF" w:rsidRDefault="002748F7" w:rsidP="002748F7">
            <w:pPr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  <w:p w14:paraId="0ABAA4B6" w14:textId="502F0212" w:rsidR="0083298D" w:rsidRPr="00AB7CBF" w:rsidRDefault="002748F7" w:rsidP="002748F7">
            <w:pPr>
              <w:rPr>
                <w:rFonts w:asciiTheme="minorHAnsi" w:hAnsiTheme="minorHAnsi" w:cstheme="minorHAnsi"/>
                <w:lang w:val="en-GB"/>
              </w:rPr>
            </w:pPr>
            <w:r w:rsidRPr="00AB7CBF">
              <w:rPr>
                <w:rFonts w:asciiTheme="minorHAnsi" w:hAnsiTheme="minorHAnsi" w:cstheme="minorHAnsi"/>
                <w:noProof/>
                <w:color w:val="002060"/>
                <w:sz w:val="20"/>
                <w:szCs w:val="20"/>
                <w:lang w:val="en-US"/>
              </w:rPr>
              <w:t xml:space="preserve"/>
            </w:r>
          </w:p>
        </w:tc>
      </w:tr>
    </w:tbl>
    <w:p w14:paraId="7B26D2EC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12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TEACHING and LEARNING METHODS - EVALUATION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06"/>
        <w:gridCol w:w="5166"/>
      </w:tblGrid>
      <w:tr w:rsidR="0083298D" w:rsidRPr="00AB7CBF" w14:paraId="629934B5" w14:textId="77777777" w:rsidTr="002045D7">
        <w:tc>
          <w:tcPr>
            <w:tcW w:w="3306" w:type="dxa"/>
            <w:shd w:val="clear" w:color="auto" w:fill="DDD9C3"/>
          </w:tcPr>
          <w:p w14:paraId="1B76A21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DELIVERY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Face-to-face, Distance learning, etc.</w:t>
            </w:r>
          </w:p>
        </w:tc>
        <w:tc>
          <w:tcPr>
            <w:tcW w:w="5166" w:type="dxa"/>
          </w:tcPr>
          <w:p w14:paraId="31353E06" w14:textId="792624AB" w:rsidR="0083298D" w:rsidRPr="00AB7CBF" w:rsidRDefault="002748F7" w:rsidP="002045D7">
            <w:pPr>
              <w:spacing w:after="200" w:line="276" w:lineRule="auto"/>
              <w:rPr>
                <w:rFonts w:asciiTheme="minorHAnsi" w:eastAsia="Calibri" w:hAnsiTheme="minorHAnsi" w:cstheme="minorHAnsi"/>
                <w:iCs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Face to face</w:t>
            </w:r>
            <w:r w:rsidR="0083298D" w:rsidRPr="00AB7CBF"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  <w:t>.</w:t>
            </w:r>
            <w:r w:rsidR="0083298D" w:rsidRPr="00AB7CBF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</w:tr>
      <w:tr w:rsidR="0083298D" w:rsidRPr="00AB7CBF" w14:paraId="0AA0258C" w14:textId="77777777" w:rsidTr="002045D7">
        <w:tc>
          <w:tcPr>
            <w:tcW w:w="3306" w:type="dxa"/>
            <w:shd w:val="clear" w:color="auto" w:fill="DDD9C3"/>
          </w:tcPr>
          <w:p w14:paraId="2A87FD5D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 xml:space="preserve">USE OF INFORMATION AND COMMUNICATIONS TECHNOLOGY </w:t>
            </w: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br/>
            </w: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Use of ICT in teaching, laboratory education, communication with students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7A2222DB" w14:textId="623D200B" w:rsidR="0083298D" w:rsidRPr="00AB7CBF" w:rsidRDefault="002748F7" w:rsidP="002045D7">
            <w:pPr>
              <w:spacing w:line="20" w:lineRule="atLeast"/>
              <w:rPr>
                <w:rFonts w:asciiTheme="minorHAnsi" w:eastAsia="Arial Unicode MS" w:hAnsiTheme="minorHAnsi" w:cstheme="minorHAnsi"/>
                <w:color w:val="002060"/>
                <w:sz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color w:val="002060"/>
                <w:sz w:val="20"/>
                <w:szCs w:val="20"/>
                <w:lang w:val="en-US"/>
              </w:rPr>
              <w:t xml:space="preserve">Communication via e-mail and Zoom platform.</w:t>
              <w:br/>
              <w:t xml:space="preserve">Additional material is provided via a dedicated e-learning  website.</w:t>
            </w:r>
          </w:p>
        </w:tc>
      </w:tr>
      <w:tr w:rsidR="0083298D" w:rsidRPr="00AB7CBF" w14:paraId="74DEDF8A" w14:textId="77777777" w:rsidTr="002045D7">
        <w:tc>
          <w:tcPr>
            <w:tcW w:w="3306" w:type="dxa"/>
            <w:shd w:val="clear" w:color="auto" w:fill="DDD9C3"/>
          </w:tcPr>
          <w:p w14:paraId="3CCD143F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TEACHING METHODS</w:t>
            </w:r>
          </w:p>
          <w:p w14:paraId="228E8B0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manner and methods of teaching are described in detail.</w:t>
            </w:r>
          </w:p>
          <w:p w14:paraId="51796D94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Lectures, seminars, laboratory practice, fieldwork, study and analysis of bibliography, tutorials, placements, clinical practice, art workshop, interactive teaching, educational visits, project, essay writing, artistic creativity, etc.</w:t>
            </w:r>
          </w:p>
          <w:p w14:paraId="3A6DAA45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C29FB4D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The student's study hours for each learning activity are given as well as the hours of non-directed study according to the principles of the ECTS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67"/>
              <w:gridCol w:w="2468"/>
            </w:tblGrid>
            <w:tr w:rsidR="0083298D" w:rsidRPr="00AB7CBF" w14:paraId="2F5F50D8" w14:textId="77777777" w:rsidTr="002045D7">
              <w:tc>
                <w:tcPr>
                  <w:tcW w:w="2467" w:type="dxa"/>
                  <w:shd w:val="clear" w:color="auto" w:fill="DDD9C3"/>
                  <w:vAlign w:val="center"/>
                </w:tcPr>
                <w:p w14:paraId="119A7179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Activity</w:t>
                  </w:r>
                </w:p>
              </w:tc>
              <w:tc>
                <w:tcPr>
                  <w:tcW w:w="2468" w:type="dxa"/>
                  <w:shd w:val="clear" w:color="auto" w:fill="DDD9C3"/>
                  <w:vAlign w:val="center"/>
                </w:tcPr>
                <w:p w14:paraId="6CFFE0C8" w14:textId="77777777" w:rsidR="0083298D" w:rsidRPr="00AB7CBF" w:rsidRDefault="0083298D" w:rsidP="002045D7">
                  <w:pPr>
                    <w:jc w:val="center"/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sz w:val="20"/>
                      <w:szCs w:val="20"/>
                      <w:lang w:val="en-GB"/>
                    </w:rPr>
                    <w:t>Semester workload</w:t>
                  </w:r>
                </w:p>
              </w:tc>
            </w:tr>
            <w:tr w:rsidR="0083298D" w:rsidRPr="00AB7CBF" w14:paraId="6CE45259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6AD2F6E" w14:textId="3386375F" w:rsidR="0083298D" w:rsidRPr="00AB7CBF" w:rsidRDefault="002748F7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Lectures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D017B4E" w14:textId="0FA7121F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40</w:t>
                  </w:r>
                </w:p>
              </w:tc>
            </w:tr>
            <w:tr w:rsidR="002748F7" w:rsidRPr="00AB7CBF" w14:paraId="41D70F5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0E3819A5" w14:textId="397C0BAA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Practice/exercises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93C856B" w14:textId="6082A11D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12</w:t>
                  </w:r>
                </w:p>
              </w:tc>
            </w:tr>
            <w:tr w:rsidR="002748F7" w:rsidRPr="00AB7CBF" w14:paraId="27357BD1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2757D82" w14:textId="155578B4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Individual study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205CE7CE" w14:textId="5502BE3C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>78</w:t>
                  </w:r>
                </w:p>
              </w:tc>
            </w:tr>
            <w:tr w:rsidR="002748F7" w:rsidRPr="00AB7CBF" w14:paraId="2B18EA1C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9DBBA52" w14:textId="3F317A8B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87BAE0" w14:textId="38E13713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2748F7" w:rsidRPr="00AB7CBF" w14:paraId="32CE421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75D9F9A1" w14:textId="20683CAD" w:rsidR="002748F7" w:rsidRPr="00AB7CBF" w:rsidRDefault="002748F7" w:rsidP="002748F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64A7DF0" w14:textId="3BDAA225" w:rsidR="002748F7" w:rsidRPr="00AB7CBF" w:rsidRDefault="002748F7" w:rsidP="002748F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color w:val="002060"/>
                      <w:sz w:val="20"/>
                      <w:szCs w:val="20"/>
                      <w:lang w:val="en-US"/>
                    </w:rPr>
                    <w:t xml:space="preserve"/>
                  </w:r>
                </w:p>
              </w:tc>
            </w:tr>
            <w:tr w:rsidR="0083298D" w:rsidRPr="00AB7CBF" w14:paraId="7D80ABA2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2DCB624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6E84F38F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</w:rPr>
                  </w:pPr>
                </w:p>
              </w:tc>
            </w:tr>
            <w:tr w:rsidR="0083298D" w:rsidRPr="00AB7CBF" w14:paraId="5783537B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4C455B44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1BCB0B75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292CECCF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64267690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329F6D32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37782D44" w14:textId="77777777" w:rsidTr="002045D7">
              <w:tc>
                <w:tcPr>
                  <w:tcW w:w="2467" w:type="dxa"/>
                  <w:shd w:val="clear" w:color="auto" w:fill="auto"/>
                  <w:vAlign w:val="center"/>
                </w:tcPr>
                <w:p w14:paraId="3B858C47" w14:textId="77777777" w:rsidR="0083298D" w:rsidRPr="00AB7CBF" w:rsidRDefault="0083298D" w:rsidP="002045D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0D6359C9" w14:textId="77777777" w:rsidR="0083298D" w:rsidRPr="00AB7CBF" w:rsidRDefault="0083298D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</w:p>
              </w:tc>
            </w:tr>
            <w:tr w:rsidR="0083298D" w:rsidRPr="00AB7CBF" w14:paraId="57116DCB" w14:textId="77777777" w:rsidTr="002045D7">
              <w:tc>
                <w:tcPr>
                  <w:tcW w:w="2467" w:type="dxa"/>
                  <w:shd w:val="clear" w:color="auto" w:fill="auto"/>
                </w:tcPr>
                <w:p w14:paraId="36432C2C" w14:textId="68AB8782" w:rsidR="0083298D" w:rsidRPr="00AB7CBF" w:rsidRDefault="0083298D" w:rsidP="00B458C7">
                  <w:pPr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Course total (2</w:t>
                  </w:r>
                  <w:r w:rsidR="00B458C7"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6</w:t>
                  </w:r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</w:t>
                  </w:r>
                  <w:proofErr w:type="gramStart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>hours  workload</w:t>
                  </w:r>
                  <w:proofErr w:type="gramEnd"/>
                  <w:r w:rsidRPr="00AB7CBF"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  <w:t xml:space="preserve"> per ECTS credit)</w:t>
                  </w:r>
                </w:p>
              </w:tc>
              <w:tc>
                <w:tcPr>
                  <w:tcW w:w="2468" w:type="dxa"/>
                  <w:shd w:val="clear" w:color="auto" w:fill="auto"/>
                  <w:vAlign w:val="center"/>
                </w:tcPr>
                <w:p w14:paraId="4A0258B1" w14:textId="4E3DB13E" w:rsidR="0083298D" w:rsidRPr="00AB7CBF" w:rsidRDefault="002748F7" w:rsidP="002045D7">
                  <w:pPr>
                    <w:jc w:val="center"/>
                    <w:rPr>
                      <w:rFonts w:asciiTheme="minorHAnsi" w:eastAsia="Arial Unicode MS" w:hAnsiTheme="minorHAnsi" w:cstheme="minorHAnsi"/>
                      <w:color w:val="002060"/>
                      <w:sz w:val="16"/>
                      <w:lang w:val="en-GB"/>
                    </w:rPr>
                  </w:pPr>
                  <w:r w:rsidRPr="00AB7CBF"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  <w:lang w:val="en-US"/>
                    </w:rPr>
                    <w:t xml:space="preserve">130</w:t>
                  </w:r>
                </w:p>
              </w:tc>
            </w:tr>
          </w:tbl>
          <w:p w14:paraId="52ADE960" w14:textId="77777777" w:rsidR="0083298D" w:rsidRPr="00AB7CBF" w:rsidRDefault="0083298D" w:rsidP="002045D7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83298D" w:rsidRPr="00AB7CBF" w14:paraId="6E6B6151" w14:textId="77777777" w:rsidTr="002045D7">
        <w:tc>
          <w:tcPr>
            <w:tcW w:w="3306" w:type="dxa"/>
          </w:tcPr>
          <w:p w14:paraId="25329EE8" w14:textId="77777777" w:rsidR="0083298D" w:rsidRPr="00AB7CBF" w:rsidRDefault="0083298D" w:rsidP="002045D7">
            <w:pPr>
              <w:jc w:val="right"/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</w:pPr>
            <w:r w:rsidRPr="00AB7CBF">
              <w:rPr>
                <w:rFonts w:asciiTheme="minorHAnsi" w:hAnsiTheme="minorHAnsi" w:cstheme="minorHAnsi"/>
                <w:b/>
                <w:sz w:val="20"/>
                <w:szCs w:val="20"/>
                <w:lang w:val="en-GB"/>
              </w:rPr>
              <w:t>STUDENT PERFORMANCE EVALUATION</w:t>
            </w:r>
          </w:p>
          <w:p w14:paraId="2206E1CE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Description of the evaluation procedure</w:t>
            </w:r>
          </w:p>
          <w:p w14:paraId="7D11662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1F893A4B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Language of evaluation, methods of evaluation, summative or conclusive, multiple choice questionnaires, short-answer questions, open-ended questions, problem solving, written work, essay/report, oral examination, public presentation, laboratory work, clinical examination of patient, art interpretation, other</w:t>
            </w:r>
          </w:p>
          <w:p w14:paraId="6E8E0B69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</w:p>
          <w:p w14:paraId="5A58B5E0" w14:textId="77777777" w:rsidR="0083298D" w:rsidRPr="00AB7CBF" w:rsidRDefault="0083298D" w:rsidP="002045D7">
            <w:pPr>
              <w:jc w:val="both"/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</w:pPr>
            <w:r w:rsidRPr="00AB7CBF">
              <w:rPr>
                <w:rFonts w:asciiTheme="minorHAnsi" w:hAnsiTheme="minorHAnsi" w:cstheme="minorHAnsi"/>
                <w:i/>
                <w:sz w:val="16"/>
                <w:szCs w:val="16"/>
                <w:lang w:val="en-GB"/>
              </w:rPr>
              <w:t>Specifically-defined evaluation criteria are given, and if and where they are accessible to students.</w:t>
            </w:r>
          </w:p>
        </w:tc>
        <w:tc>
          <w:tcPr>
            <w:tcW w:w="5166" w:type="dxa"/>
            <w:tcBorders>
              <w:bottom w:val="single" w:sz="4" w:space="0" w:color="auto"/>
            </w:tcBorders>
          </w:tcPr>
          <w:p w14:paraId="18464099" w14:textId="77777777" w:rsidR="0083298D" w:rsidRPr="00AB7CBF" w:rsidRDefault="0083298D" w:rsidP="002045D7">
            <w:pPr>
              <w:rPr>
                <w:rFonts w:asciiTheme="minorHAnsi" w:hAnsiTheme="minorHAnsi" w:cstheme="minorHAnsi"/>
                <w:color w:val="002060"/>
                <w:sz w:val="16"/>
                <w:lang w:val="en-GB"/>
              </w:rPr>
            </w:pPr>
          </w:p>
          <w:p w14:paraId="5A28E879" w14:textId="57A2B9C6" w:rsidR="0083298D" w:rsidRPr="00AB7CBF" w:rsidRDefault="00701B0F" w:rsidP="002045D7">
            <w:pPr>
              <w:rPr>
                <w:rFonts w:asciiTheme="minorHAnsi" w:hAnsiTheme="minorHAnsi" w:cstheme="minorHAnsi"/>
                <w:color w:val="002060"/>
                <w:lang w:val="en-GB"/>
              </w:rPr>
            </w:pPr>
            <w:r w:rsidRPr="00AB7CBF">
              <w:rPr>
                <w:rFonts w:asciiTheme="minorHAnsi" w:hAnsiTheme="minorHAnsi" w:cstheme="minorHAnsi"/>
                <w:iCs/>
                <w:color w:val="002060"/>
                <w:sz w:val="20"/>
                <w:szCs w:val="20"/>
                <w:lang w:val="en-US"/>
              </w:rPr>
              <w:t xml:space="preserve">Formative evaluation consisted of: </w:t>
              <w:br/>
              <w:t xml:space="preserve">1.Non-compulsory intermediate tests (2 to 3 in total) focused on solving problems (30% of final mark)</w:t>
              <w:br/>
              <w:t xml:space="preserve">2. Final written exams that includes: a. Theoretical questions of knowledge and critical thinking and b .Solving of problems-exercises (70% of final mark)</w:t>
            </w:r>
          </w:p>
        </w:tc>
      </w:tr>
    </w:tbl>
    <w:p w14:paraId="288147D4" w14:textId="77777777" w:rsidR="0083298D" w:rsidRPr="00AB7CBF" w:rsidRDefault="0083298D" w:rsidP="00B458C7">
      <w:pPr>
        <w:widowControl w:val="0"/>
        <w:autoSpaceDE w:val="0"/>
        <w:autoSpaceDN w:val="0"/>
        <w:adjustRightInd w:val="0"/>
        <w:spacing w:before="240" w:after="200" w:line="276" w:lineRule="auto"/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</w:pPr>
      <w:r w:rsidRPr="00AB7CBF">
        <w:rPr>
          <w:rFonts w:asciiTheme="minorHAnsi" w:hAnsiTheme="minorHAnsi" w:cstheme="minorHAnsi"/>
          <w:b/>
          <w:color w:val="000000"/>
          <w:sz w:val="22"/>
          <w:szCs w:val="22"/>
          <w:lang w:val="en-GB"/>
        </w:rPr>
        <w:t>ATTACHED BIBLIOGRAPHY</w:t>
      </w:r>
    </w:p>
    <w:p w14:paraId="5870C6A0" w14:textId="77777777" w:rsidR="00701B0F" w:rsidRPr="00AB7CBF" w:rsidRDefault="00701B0F" w:rsidP="00701B0F">
      <w:pPr>
        <w:widowControl w:val="0"/>
        <w:autoSpaceDE w:val="0"/>
        <w:autoSpaceDN w:val="0"/>
        <w:adjustRightInd w:val="0"/>
        <w:ind w:left="360"/>
        <w:rPr>
          <w:rFonts w:asciiTheme="minorHAnsi" w:hAnsiTheme="minorHAnsi" w:cstheme="minorHAnsi"/>
          <w:b/>
          <w:color w:val="002060"/>
          <w:sz w:val="20"/>
          <w:szCs w:val="20"/>
        </w:rPr>
      </w:pPr>
      <w:r w:rsidRPr="00AB7CBF">
        <w:rPr>
          <w:rFonts w:asciiTheme="minorHAnsi" w:hAnsiTheme="minorHAnsi" w:cstheme="minorHAnsi"/>
          <w:color w:val="002060"/>
          <w:sz w:val="20"/>
          <w:szCs w:val="20"/>
          <w:lang w:val="en-US"/>
        </w:rPr>
        <w:t xml:space="preserve">A.Chopra (2016), Dynamics of Structures, Prentice-hall International Series</w:t>
      </w:r>
    </w:p>
    <w:p w14:paraId="02AD5CF9" w14:textId="77777777" w:rsidR="0083298D" w:rsidRPr="00AB7CBF" w:rsidRDefault="0083298D">
      <w:pPr>
        <w:rPr>
          <w:rFonts w:asciiTheme="minorHAnsi" w:hAnsiTheme="minorHAnsi" w:cstheme="minorHAnsi"/>
        </w:rPr>
      </w:pPr>
    </w:p>
    <w:sectPr w:rsidR="0083298D" w:rsidRPr="00AB7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ApexTimes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1FA5"/>
    <w:multiLevelType w:val="hybridMultilevel"/>
    <w:tmpl w:val="7F427266"/>
    <w:lvl w:ilvl="0" w:tplc="2D44EDF6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b/>
      </w:rPr>
    </w:lvl>
    <w:lvl w:ilvl="1" w:tplc="0408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8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8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8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8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8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8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8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AFC1BA2"/>
    <w:multiLevelType w:val="hybridMultilevel"/>
    <w:tmpl w:val="316076F0"/>
    <w:lvl w:ilvl="0" w:tplc="0408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04602E4"/>
    <w:multiLevelType w:val="multilevel"/>
    <w:tmpl w:val="8E0252C4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98D"/>
    <w:rsid w:val="002748F7"/>
    <w:rsid w:val="00701B0F"/>
    <w:rsid w:val="007265B3"/>
    <w:rsid w:val="0083298D"/>
    <w:rsid w:val="008E4C62"/>
    <w:rsid w:val="00AB7CBF"/>
    <w:rsid w:val="00B4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18D1A0"/>
  <w15:chartTrackingRefBased/>
  <w15:docId w15:val="{9177821F-7553-4817-829E-1020A7CE1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298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83298D"/>
    <w:pPr>
      <w:keepNext/>
      <w:numPr>
        <w:numId w:val="1"/>
      </w:numPr>
      <w:overflowPunct w:val="0"/>
      <w:autoSpaceDE w:val="0"/>
      <w:autoSpaceDN w:val="0"/>
      <w:adjustRightInd w:val="0"/>
      <w:spacing w:after="240"/>
      <w:jc w:val="center"/>
      <w:textAlignment w:val="baseline"/>
      <w:outlineLvl w:val="0"/>
    </w:pPr>
    <w:rPr>
      <w:rFonts w:ascii="Calibri" w:hAnsi="Calibri"/>
      <w:b/>
      <w:color w:val="365F91"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1"/>
    <w:autoRedefine/>
    <w:qFormat/>
    <w:rsid w:val="0083298D"/>
    <w:pPr>
      <w:keepNext/>
      <w:numPr>
        <w:ilvl w:val="1"/>
        <w:numId w:val="1"/>
      </w:numPr>
      <w:shd w:val="clear" w:color="auto" w:fill="BFBFBF"/>
      <w:spacing w:before="240" w:after="240"/>
      <w:jc w:val="center"/>
      <w:outlineLvl w:val="1"/>
    </w:pPr>
    <w:rPr>
      <w:rFonts w:ascii="Calibri" w:hAnsi="Calibri"/>
      <w:b/>
      <w:bCs/>
      <w:iCs/>
      <w:color w:val="365F91"/>
      <w:szCs w:val="28"/>
      <w:lang w:val="x-none" w:eastAsia="x-none"/>
    </w:rPr>
  </w:style>
  <w:style w:type="paragraph" w:styleId="Heading3">
    <w:name w:val="heading 3"/>
    <w:basedOn w:val="Heading2"/>
    <w:next w:val="Normal"/>
    <w:link w:val="Heading3Char"/>
    <w:qFormat/>
    <w:rsid w:val="0083298D"/>
    <w:pPr>
      <w:numPr>
        <w:ilvl w:val="2"/>
      </w:numPr>
      <w:tabs>
        <w:tab w:val="clear" w:pos="720"/>
        <w:tab w:val="num" w:pos="360"/>
      </w:tabs>
      <w:overflowPunct w:val="0"/>
      <w:autoSpaceDE w:val="0"/>
      <w:autoSpaceDN w:val="0"/>
      <w:adjustRightInd w:val="0"/>
      <w:textAlignment w:val="baseline"/>
      <w:outlineLvl w:val="2"/>
    </w:pPr>
    <w:rPr>
      <w:rFonts w:ascii="Times New Roman" w:hAnsi="Times New Roman"/>
      <w:color w:val="auto"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rsid w:val="0083298D"/>
    <w:pPr>
      <w:keepNext/>
      <w:numPr>
        <w:ilvl w:val="3"/>
        <w:numId w:val="1"/>
      </w:numPr>
      <w:suppressAutoHyphens/>
      <w:jc w:val="center"/>
      <w:outlineLvl w:val="3"/>
    </w:pPr>
    <w:rPr>
      <w:b/>
      <w:bCs/>
      <w:sz w:val="32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83298D"/>
    <w:pPr>
      <w:keepNext/>
      <w:numPr>
        <w:ilvl w:val="4"/>
        <w:numId w:val="1"/>
      </w:numPr>
      <w:suppressAutoHyphens/>
      <w:spacing w:after="120"/>
      <w:jc w:val="center"/>
      <w:outlineLvl w:val="4"/>
    </w:pPr>
    <w:rPr>
      <w:b/>
      <w:bCs/>
      <w:lang w:val="x-none" w:eastAsia="ar-SA"/>
    </w:rPr>
  </w:style>
  <w:style w:type="paragraph" w:styleId="Heading6">
    <w:name w:val="heading 6"/>
    <w:basedOn w:val="Normal"/>
    <w:next w:val="Normal"/>
    <w:link w:val="Heading6Char"/>
    <w:qFormat/>
    <w:rsid w:val="0083298D"/>
    <w:pPr>
      <w:keepNext/>
      <w:numPr>
        <w:ilvl w:val="5"/>
        <w:numId w:val="1"/>
      </w:numPr>
      <w:suppressAutoHyphens/>
      <w:jc w:val="center"/>
      <w:outlineLvl w:val="5"/>
    </w:pPr>
    <w:rPr>
      <w:rFonts w:ascii="Georgia" w:hAnsi="Georgia"/>
      <w:b/>
      <w:bCs/>
      <w:lang w:val="x-none" w:eastAsia="ar-SA"/>
    </w:rPr>
  </w:style>
  <w:style w:type="paragraph" w:styleId="Heading7">
    <w:name w:val="heading 7"/>
    <w:basedOn w:val="Normal"/>
    <w:next w:val="Normal"/>
    <w:link w:val="Heading7Char"/>
    <w:qFormat/>
    <w:rsid w:val="0083298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qFormat/>
    <w:rsid w:val="0083298D"/>
    <w:pPr>
      <w:keepNext/>
      <w:numPr>
        <w:ilvl w:val="7"/>
        <w:numId w:val="1"/>
      </w:numPr>
      <w:jc w:val="both"/>
      <w:outlineLvl w:val="7"/>
    </w:pPr>
    <w:rPr>
      <w:rFonts w:ascii="ApexTimes" w:hAnsi="ApexTimes"/>
      <w:sz w:val="28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qFormat/>
    <w:rsid w:val="0083298D"/>
    <w:pPr>
      <w:numPr>
        <w:ilvl w:val="8"/>
        <w:numId w:val="1"/>
      </w:numPr>
      <w:suppressAutoHyphens/>
      <w:spacing w:before="240" w:after="60"/>
      <w:outlineLvl w:val="8"/>
    </w:pPr>
    <w:rPr>
      <w:rFonts w:ascii="Arial" w:hAnsi="Arial" w:cs="Arial"/>
      <w:sz w:val="22"/>
      <w:szCs w:val="22"/>
      <w:lang w:val="x-none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298D"/>
    <w:rPr>
      <w:rFonts w:ascii="Calibri" w:eastAsia="Times New Roman" w:hAnsi="Calibri" w:cs="Times New Roman"/>
      <w:b/>
      <w:color w:val="365F91"/>
      <w:kern w:val="0"/>
      <w:sz w:val="28"/>
      <w:szCs w:val="20"/>
      <w:lang w:val="x-none" w:eastAsia="x-none"/>
      <w14:ligatures w14:val="none"/>
    </w:rPr>
  </w:style>
  <w:style w:type="character" w:customStyle="1" w:styleId="Heading2Char">
    <w:name w:val="Heading 2 Char"/>
    <w:basedOn w:val="DefaultParagraphFont"/>
    <w:uiPriority w:val="9"/>
    <w:semiHidden/>
    <w:rsid w:val="0083298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el-GR"/>
      <w14:ligatures w14:val="none"/>
    </w:rPr>
  </w:style>
  <w:style w:type="character" w:customStyle="1" w:styleId="Heading3Char">
    <w:name w:val="Heading 3 Char"/>
    <w:basedOn w:val="DefaultParagraphFont"/>
    <w:link w:val="Heading3"/>
    <w:rsid w:val="0083298D"/>
    <w:rPr>
      <w:rFonts w:ascii="Times New Roman" w:eastAsia="Times New Roman" w:hAnsi="Times New Roman" w:cs="Times New Roman"/>
      <w:b/>
      <w:bCs/>
      <w:iCs/>
      <w:kern w:val="0"/>
      <w:szCs w:val="20"/>
      <w:shd w:val="clear" w:color="auto" w:fill="BFBFBF"/>
      <w:lang w:val="x-none" w:eastAsia="x-none"/>
      <w14:ligatures w14:val="none"/>
    </w:rPr>
  </w:style>
  <w:style w:type="character" w:customStyle="1" w:styleId="Heading4Char">
    <w:name w:val="Heading 4 Char"/>
    <w:basedOn w:val="DefaultParagraphFont"/>
    <w:link w:val="Heading4"/>
    <w:rsid w:val="0083298D"/>
    <w:rPr>
      <w:rFonts w:ascii="Times New Roman" w:eastAsia="Times New Roman" w:hAnsi="Times New Roman" w:cs="Times New Roman"/>
      <w:b/>
      <w:bCs/>
      <w:kern w:val="0"/>
      <w:sz w:val="32"/>
      <w:szCs w:val="24"/>
      <w:lang w:val="en-US" w:eastAsia="ar-SA"/>
      <w14:ligatures w14:val="none"/>
    </w:rPr>
  </w:style>
  <w:style w:type="character" w:customStyle="1" w:styleId="Heading5Char">
    <w:name w:val="Heading 5 Char"/>
    <w:basedOn w:val="DefaultParagraphFont"/>
    <w:link w:val="Heading5"/>
    <w:rsid w:val="0083298D"/>
    <w:rPr>
      <w:rFonts w:ascii="Times New Roman" w:eastAsia="Times New Roman" w:hAnsi="Times New Roman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6Char">
    <w:name w:val="Heading 6 Char"/>
    <w:basedOn w:val="DefaultParagraphFont"/>
    <w:link w:val="Heading6"/>
    <w:rsid w:val="0083298D"/>
    <w:rPr>
      <w:rFonts w:ascii="Georgia" w:eastAsia="Times New Roman" w:hAnsi="Georgia" w:cs="Times New Roman"/>
      <w:b/>
      <w:bCs/>
      <w:kern w:val="0"/>
      <w:sz w:val="24"/>
      <w:szCs w:val="24"/>
      <w:lang w:val="x-none" w:eastAsia="ar-SA"/>
      <w14:ligatures w14:val="none"/>
    </w:rPr>
  </w:style>
  <w:style w:type="character" w:customStyle="1" w:styleId="Heading7Char">
    <w:name w:val="Heading 7 Char"/>
    <w:basedOn w:val="DefaultParagraphFont"/>
    <w:link w:val="Heading7"/>
    <w:rsid w:val="0083298D"/>
    <w:rPr>
      <w:rFonts w:ascii="Times New Roman" w:eastAsia="Times New Roman" w:hAnsi="Times New Roman" w:cs="Times New Roman"/>
      <w:kern w:val="0"/>
      <w:sz w:val="24"/>
      <w:szCs w:val="24"/>
      <w:lang w:val="x-none" w:eastAsia="x-none"/>
      <w14:ligatures w14:val="none"/>
    </w:rPr>
  </w:style>
  <w:style w:type="character" w:customStyle="1" w:styleId="Heading8Char">
    <w:name w:val="Heading 8 Char"/>
    <w:basedOn w:val="DefaultParagraphFont"/>
    <w:link w:val="Heading8"/>
    <w:rsid w:val="0083298D"/>
    <w:rPr>
      <w:rFonts w:ascii="ApexTimes" w:eastAsia="Times New Roman" w:hAnsi="ApexTimes" w:cs="Times New Roman"/>
      <w:kern w:val="0"/>
      <w:sz w:val="28"/>
      <w:szCs w:val="20"/>
      <w:lang w:val="en-US"/>
      <w14:ligatures w14:val="none"/>
    </w:rPr>
  </w:style>
  <w:style w:type="character" w:customStyle="1" w:styleId="Heading9Char">
    <w:name w:val="Heading 9 Char"/>
    <w:basedOn w:val="DefaultParagraphFont"/>
    <w:link w:val="Heading9"/>
    <w:rsid w:val="0083298D"/>
    <w:rPr>
      <w:rFonts w:ascii="Arial" w:eastAsia="Times New Roman" w:hAnsi="Arial" w:cs="Arial"/>
      <w:kern w:val="0"/>
      <w:lang w:val="x-none" w:eastAsia="ar-SA"/>
      <w14:ligatures w14:val="none"/>
    </w:rPr>
  </w:style>
  <w:style w:type="character" w:customStyle="1" w:styleId="Heading2Char1">
    <w:name w:val="Heading 2 Char1"/>
    <w:link w:val="Heading2"/>
    <w:rsid w:val="0083298D"/>
    <w:rPr>
      <w:rFonts w:ascii="Calibri" w:eastAsia="Times New Roman" w:hAnsi="Calibri" w:cs="Times New Roman"/>
      <w:b/>
      <w:bCs/>
      <w:iCs/>
      <w:color w:val="365F91"/>
      <w:kern w:val="0"/>
      <w:sz w:val="24"/>
      <w:szCs w:val="28"/>
      <w:shd w:val="clear" w:color="auto" w:fill="BFBFBF"/>
      <w:lang w:val="x-none" w:eastAsia="x-none"/>
      <w14:ligatures w14:val="none"/>
    </w:rPr>
  </w:style>
  <w:style w:type="paragraph" w:styleId="ListParagraph">
    <w:name w:val="List Paragraph"/>
    <w:basedOn w:val="Normal"/>
    <w:uiPriority w:val="34"/>
    <w:qFormat/>
    <w:rsid w:val="00274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Vlachonasiou</dc:creator>
  <cp:keywords/>
  <dc:description/>
  <cp:lastModifiedBy>GEORGIOS PANAGOPOULOS</cp:lastModifiedBy>
  <cp:revision>6</cp:revision>
  <dcterms:created xsi:type="dcterms:W3CDTF">2023-04-12T07:53:00Z</dcterms:created>
  <dcterms:modified xsi:type="dcterms:W3CDTF">2023-06-13T20:20:00Z</dcterms:modified>
  <dc:identifier/>
  <dc:language/>
</cp:coreProperties>
</file>