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Dynamics of Structures II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ΔΟΜ021</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7th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Dynamics of Structures II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Determine the dynamic behaviour of complex structural systems (in both time and frequency domains). Understand, model and compute the nonlinear dynamic response of structures exposed to various environmental loads Clarify and evaluate the effect of randomness of environmental loads.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-Search for, analysis and synthesis of data and information, with the use of the necessary technology </w:t>
              <w:br/>
              <w:t xml:space="preserve">-Adapting to new situations </w:t>
              <w:br/>
              <w:t xml:space="preserve">-Decision-making </w:t>
              <w:br/>
              <w:t xml:space="preserve">-Working independently </w:t>
              <w:br/>
              <w:t xml:space="preserve">-Team work</w:t>
              <w:br/>
              <w:t xml:space="preserve">-Working in an interdisciplinary environment </w:t>
              <w:br/>
              <w:t xml:space="preserve">-Project planning and management </w:t>
              <w:br/>
              <w:t xml:space="preserve">-Criticism and self-criticism </w:t>
              <w:br/>
              <w:t xml:space="preserve">-Production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Generalized sdof systems. Static condensation and Static correction metods. Rayleigh-Ritz methods. </w:t>
              <w:br/>
              <w:t xml:space="preserve">Non-classically damped systems. Dynamics of inelastic structure. Earhquake response of base-isolated buildings.</w:t>
              <w:br/>
              <w:t xml:space="preserve">Frequency-domain method of elastic response analysis. Introduction to random vibration.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Communication via e-mail and Zoom platform.</w:t>
              <w:br/>
              <w:t xml:space="preserve">Additional material is provided via a dedicated e-learning  website.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78</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The evaluation of the students is composed of marks collected from different parts of the teaching process, as follows:</w:t>
              <w:br/>
              <w:t xml:space="preserve">1. Individual projects (2-3) during the semester (30% of the final grade)</w:t>
              <w:br/>
              <w:t xml:space="preserve">2. Final written exams (70% of final grade)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A.Chopra (2016), Dynamics of Structures, Prentice-hall International Series</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