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Special Topics in Steel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Special Topics in Steel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are expected to:</w:t>
              <w:br/>
              <w:t xml:space="preserve">• Calculate critical loads of flexural buckling and the corresponding buckling lengths for axially compressed beams, frame members, or others.</w:t>
              <w:br/>
              <w:t xml:space="preserve">• Assess the influence of geometric imperfections, second-order effects, residual stresses and shear deformation of a member's cross-section, on the bearing capacity of elements under axial compression.</w:t>
              <w:br/>
              <w:t xml:space="preserve">• Understand and design steel structural elements consisting of plates with or without stiffeners.</w:t>
              <w:br/>
              <w:t xml:space="preserve">• Design simple cases of cylindrical steel shells.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Forms of instability of compressed truss elements. Second-order equilibrium (deformed state) of axially compressed rods. The influence of elastic supports on the critical load. Calculation of critical loads and the corresponding buckling lengths. The influence of the axial compressive force on the load-bearing capacity of a beam under simultaneous bending loads.</w:t>
              <w:br/>
              <w:t xml:space="preserve"> • Influence of residual stresses and shear deformation on the strength and load-bearing capacity of compressed elements. Regulatory provisions of EC3.</w:t>
              <w:br/>
              <w:t xml:space="preserve"> • Strength of planar steel structural elements stressed within their plane (discs).</w:t>
              <w:br/>
              <w:t xml:space="preserve"> • Load-bearing capacity of steel shells.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Vagias I, Gantes Ch., Ermopoulos I., Ioannidis G., Application Examples in Special Issues on Steel Structures, Kleidarithmos publ., 2014 (in Greek)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