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Elastoplastic Analysis of Structures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ΔΟΜ033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Elastoplastic Analysis of Structures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1. understand the basic principles of the plastic behavior of truss structures</w:t>
              <w:br/>
              <w:t xml:space="preserve">2. formulate and solve an elastoplastic loading problem of a medium and calculate stresses and strains</w:t>
              <w:br/>
              <w:t xml:space="preserve">3. select a yield criterion depending on the structural material,</w:t>
              <w:br/>
              <w:t xml:space="preserve">4. analyze collapse mechanisms in truss structures</w:t>
              <w:br/>
              <w:t xml:space="preserve">5. determine manually or using computational tools the collapse load of frames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Elastic - elastoplastic analysis. Redistribution of forces. Ductility.</w:t>
              <w:br/>
              <w:t xml:space="preserve"> • Pure plastic bending. Bending with axial force. Interaction surfaces. Unloading. Influence of shear.</w:t>
              <w:br/>
              <w:t xml:space="preserve"> • Step by step elastoplastic analysis of statically determinate and indeterminate structures. Displacements.</w:t>
              <w:br/>
              <w:t xml:space="preserve"> • Application of the Principle of Virtual Work in elastoplastic analysis. Distribution of moments. Kinematically admissible mechanisms.</w:t>
              <w:br/>
              <w:t xml:space="preserve"> • Plastic limit analysis.</w:t>
              <w:br/>
              <w:t xml:space="preserve"> • Loads and collapse mechanisms of simple and frame structures.</w:t>
              <w:br/>
              <w:t xml:space="preserve"> • Concentrated - Distributed Plasticity. Yield criteria. Nonlinear analysis.</w:t>
              <w:br/>
              <w:t xml:space="preserve"> • Dynamic plastic analysis.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Papadrakakis M., Statics Courses - Plastic Analysis of Truss Structures, Tsotras publ., 2013, ISBN 978-618-5066-02-4 (in Greek)</w:t>
        <w:br/>
        <w:t xml:space="preserve">Jagabanduhu Chakrabarty: “Theory of Plasticity”, 3rd Edition, Butterworth-Heinemann, 2006, ISBN: 9780750666381"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