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Bioclimatic Architectural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ΔΟΜ034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Bioclimatic Architectural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each student is expected to be able to:</w:t>
              <w:br/>
              <w:t xml:space="preserve">• Understand the basic concepts and strategies of energy-efficient design for buildings and describe relevant topics using the corresponding terminology.</w:t>
              <w:br/>
              <w:t xml:space="preserve">• Distinguish, comprehend, and apply the principles of bioclimatic architecture and the fundamental design methodologies for passive buildings.</w:t>
              <w:br/>
              <w:t xml:space="preserve">• Analyze the characteristics of a conventional building with the aim of its upgrading, evaluate options for integrating passive systems into it, such as: interventions in the building envelope (insulation, openings, roof), transformations of the layout, adoption of sustainable materials, environmental interventions. Propose smaller or larger-scale interventions in a well-documented way, towards upgrading.</w:t>
              <w:br/>
              <w:t xml:space="preserve">• Create and compose, from the initial stage to a design level of scales 1:100-1:50, a small-scale building (residence) using the tools, techniques, and methods of energy-efficient design for buildings, while considering the surrounding area of the building as well.</w:t>
              <w:br/>
              <w:t xml:space="preserve">Prerequisites for the course include knowledge of design principles (Drawing and Computer Aided Design (CAD)) and minimum prior experience in architectural design (covered by the Department's Curriculum).</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interdisciplinary environment </w:t>
              <w:br/>
              <w:t xml:space="preserve">_Project planning and management</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energy-efficient design for buildings, with an emphasis on the ‘passive building’ and the implementation of soft technology applications within the context of sustainability for contemporary building constructions. The aim is for students to acquire knowledge on the basic theory of bioclimatic architectural design and the upgrading of conventional buildings, thus gradually become capable of designing bioclimatic building structures themselves using all the design methodology provided. Additionally, be able to make corrective interventions (upgrades) to existing buildings towards the same direction (low environmental impact, resource efficiency, sustainability). The course includes theoretical lectures and exercises (practice), short or extensive assignments that promote creative thinking (analysis  synthesis) as well as design projects; all fostering active student participation in the course.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evaluation is composed of marks collected from different parts of the teaching process, as follows:</w:t>
              <w:br/>
              <w:t xml:space="preserve">Α. Written examination (theory part, end of semester): 50% of the final grade</w:t>
              <w:br/>
              <w:t xml:space="preserve">Β. Examination by design (design part, end of semester): 20% of the final grade</w:t>
              <w:br/>
              <w:t xml:space="preserve">C. Quality of exercises, assignments and design projects developed during the semester  participation in the course procedures (i.e. oral participation, meeting deadlines for handing in work): 30% of the final grade.</w:t>
              <w:br/>
              <w:t xml:space="preserve">The evaluation criteria are listed in the introductory handout of the course, which is posted on the e-learning platform in the beginning of the semester and is also distributed and presented to the students during the 1st class meeting.</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_Andreadaki – Chronaki, Eleni, 2017. Bioclimatic Design: Climate Change – Environment – Sustainability (2nd edition). Thessaloniki: University Studio Press Editions [in Greek].</w:t>
        <w:br/>
        <w:t xml:space="preserve">_Papadopoulos, Michalis  Axarli, Cleo, 2015. Building Physics and Passive Solar Energy Building Systems. Thessaloniki: Kyriakidis Editions [in Greek].</w:t>
        <w:br/>
        <w:t xml:space="preserve">_Papamanolis, Nikolaos, 2015. Building physics and principles of buildings environmental design. [e-book] Athens: Association of Greek Academic Libraries (Kallipos). Available at: http://hdl.handle.net/11419/5407 [in Greek].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