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Design and Operation of Sea Transport Systems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ΣΥΓ018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Design and Operation of Sea Transport Systems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the course students should be able to recognize the basic principles and specifications for the design, organization and operation of sea transport systems 
</w:t>
              <w:br/>
              <w:t xml:space="preserve">• To acquire knowledge for the strategic and operational design of sea ports, combined transport and multimodal transport chain, as well as new technologies and intelligent systems in shipping and maritime transport
</w:t>
              <w:br/>
              <w:t xml:space="preserve">• To acquire the ability to identify, analyze and interpret the necessary National, European and International legal framework.
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</w:t>
              <w:br/>
              <w:t xml:space="preserve">_Project planning and management </w:t>
              <w:br/>
              <w:t xml:space="preserve">_Respect for the natural environment.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Introduction to maritime systems
</w:t>
              <w:br/>
              <w:t xml:space="preserve">• European policy on maritime transport
</w:t>
              <w:br/>
              <w:t xml:space="preserve">• Maritime systems and technical terminology
</w:t>
              <w:br/>
              <w:t xml:space="preserve">• Cargo and sea transport mode
</w:t>
              <w:br/>
              <w:t xml:space="preserve">• Port organization characteristics: evolution and emerging trends
</w:t>
              <w:br/>
              <w:t xml:space="preserve">• Demand and supply for shipping services
</w:t>
              <w:br/>
              <w:t xml:space="preserve">• Port throughput, performance indicators and fares
</w:t>
              <w:br/>
              <w:t xml:space="preserve">• Feasibility studies in maritime systems
</w:t>
              <w:br/>
              <w:t xml:space="preserve">• Organization and management of ports and port facilities
</w:t>
              <w:br/>
              <w:t xml:space="preserve">• Quality and safety management in maritime transport
</w:t>
              <w:br/>
              <w:t xml:space="preserve">• Combined transport and multimodal transport chain
</w:t>
              <w:br/>
              <w:t xml:space="preserve">• Short sea shipping and Motorways of the Sea
</w:t>
              <w:br/>
              <w:t xml:space="preserve">• New technologies and intelligent systems in shipping and maritime transport.
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Final written exam (100%) which includes:</w:t>
              <w:br/>
              <w:t xml:space="preserve">- Open ended questions </w:t>
              <w:br/>
              <w:t xml:space="preserve">- Problem solving questions (exercises)</w:t>
              <w:br/>
              <w:t xml:space="preserve"/>
              <w:br/>
              <w:t xml:space="preserve">The evaluation criteria are presented in the 1st lecture of the semester to all students. Furthermore, each student can see his graded exam/ written assignment paper and talk on the analysis of his written performance with the professor.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Giannopoulos, G.A. (2005). Maritime Transport. Epikentro Editions. ISBN: 978-960- 6645-21-1 [in Greek].</w:t>
        <w:br/>
        <w:t xml:space="preserve">• Kostagiolas, P., Chlomoudis, K. (2011). Quality and Safety Management in Maritime Transport. Papazisis Editions, ISBN: 978-960-02-2568-6 [in Greek].</w:t>
        <w:br/>
        <w:t xml:space="preserve">• Pardali A. (2007). Ports economics and policies. Stamoulis Editions, ISBN: 978-960-351-689-7 [In Greek].</w:t>
        <w:br/>
        <w:t xml:space="preserve">• Profillidis, V. (2016). Transport Economics. Papasotiriou Editions, ISBN: 978-960-491-100-4 [in Greek].</w:t>
        <w:br/>
        <w:t xml:space="preserve">• Tsaltas, G. (2008). Environment and Maritime Transport. In search of a sustainable approach. ΑΝΔΡΕΑΣ ΣΙΔΕΡΗΣ-ΙΩΑΝΝΗΣ ΣΙΔΕΡΗΣ  ΣΙΑ Ο.Ε. Editions, ISBN: 978-960-08-0459-1 [in Greek]. </w:t>
        <w:br/>
        <w:t xml:space="preserve">• Lindgren, J. F., Brynolf, S., Wilewska-Bien, M., Andersson, K. (eds), (2016). Shipping and the Environment. Improving Environmental Performance in Marine Transportation. Springer Berlin, Heidelberg. ISBN 978-3-662-49043-3.</w:t>
        <w:br/>
        <w:t xml:space="preserve"/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