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Υδραυλική Περιβάλλοντος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Υδραυλική Περιβάλλοντος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br/>
              <w:t xml:space="preserve">ΥΔΡ006 – Υδραυλική των ανοιχτών αγωγών και ποταμών</w:t>
              <w:br/>
              <w:t xml:space="preserve">ΥΔΡ008 – Υπολογιστική Ρευστομηχανική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αναγνωρίζουν μαθηματικές και αναλυτικές υπολογιστικές μεθόδους με εφαρμογή στην υδραυλική περιβάλλοντος</w:t>
              <w:br/>
              <w:t xml:space="preserve">• κατανοούν διεργασίες μεταφοράς ρύπων σε υδάτινους αποδέκτες και μαθηματικά ομοιώματα ρύπανσης</w:t>
              <w:br/>
              <w:t xml:space="preserve">• εξετάζουν την αραίωση λυμάτων (στον χρόνο και στον χώρο) σε διάφορες συνθήκες υδάτινου περιβάλλοντος</w:t>
              <w:br/>
              <w:t xml:space="preserve">• υπολογίζουν την συγκέντρωση ρύπου που διασπείρεται σε ποτάμι λαμβάνοντας υπόψη υδραυλικές αλληλεπιδράσεις και διεργασίες</w:t>
              <w:br/>
              <w:t xml:space="preserve">• εξηγούν φαινόμενα τυρβωδών ανωστικών φλεβών με χρήση διαστατικής ανάλυσης</w:t>
              <w:br/>
              <w:t xml:space="preserve">• αξιολογούν και σχεδιάζουν έργα διάθεσης λυμάτων στη θάλασσα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‘ΥΔΡ012 Υδραυλική Περιβάλλοντος’. Περιλαμβάνει την αναγκαία ύλη για την κατανόηση: (α) των διαδικασιών μεταφοράς ρύπων σε υδάτινους αποδέκτες, (β) του υδραυλικού υπολογισμού υποθαλάσσων αγωγών λυμάτων και (γ) της περιγραφής τυρβώδους διάχυσης σε ποταμούς και παράκτιες περιοχές.</w:t>
              <w:br/>
              <w:t xml:space="preserve"/>
              <w:br/>
              <w:t xml:space="preserve">- Περιεχόμενο διαλέξεων </w:t>
              <w:br/>
              <w:t xml:space="preserve">   o Εισαγωγή: βασικές έννοιες και ορισμοί. Πρακτικά προβλήματα περιβαλλοντικής ρευστομηχανικής. Διεργασία ρύπανσης σε υδάτινους αποδέκτες. Αλληκεπίδραση πεδίου ροής και ρύπανσης. Βασικές εξισώσεις ροής και αντίστοιχα μαθηματικά μοντέλα.</w:t>
              <w:br/>
              <w:t xml:space="preserve">   o Εξίσωση μοριακής και τυρβώδους διάχυσης. Διάχυση παθητικών ρύπων. Μονοδιάστατη εξίσωση μοριακής διάχυσης (νόμος του Fick και αναλυτικές λύσεις).</w:t>
              <w:br/>
              <w:t xml:space="preserve">   o Μονοδιάστατη εξίσωση μετάθεσης-διάχυσης: εξαγωγή και αναλυτικές λύσεις. Διάχυση σε ακίνητο ή κινούμενο αποδέκτη λόγω στιγμιαίας ή συνεχούς έγχυσης ρύπων.</w:t>
              <w:br/>
              <w:t xml:space="preserve">   o Υδραυλική απόθεσης υγρών λυμάτων σε θαλάσσιο περιβάλλον. Φλέβες, πλούμια, ανωστικές φλέβες. Μέθοδοι υπολογισμού της αραίωσης των ρύπων και της περιβαλλοντικής επιβάρυνσης.</w:t>
              <w:br/>
              <w:t xml:space="preserve">   o Τυρβώδεις ανωστικές ροές.</w:t>
              <w:br/>
              <w:t xml:space="preserve">   o Ομοιογενές ή στρωματισμένος αποδέκτης, ακίνητου ή με ύπαρξη ρεύματος. Εξάπλωση ρύπων σε βυθισμένο επίπεδο. Υποθαλάσσιοι αγωγοί διάθεσης λυμάτων. Υδραυλικός σχεδιασμός διαχυτήρα</w:t>
              <w:br/>
              <w:t xml:space="preserve">   o Τυρβώδης διάχυση και διασπορά κατά την ανάμιξη σε ποταμούς. Εξίσωση μετάθεσης-διάχυσης για τυρβώδη ροή. Κατά μήκος διασπορά. Αναλυτικές λύσεις και εφαρμογές.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Κωτσοβίνος Νικόλαος, Αγγελίδης Παναγιώτης, Υδραυλική Περιβάλλοντος, Εκδόσεις ΣΠΑΝΙΔΗ, 2008, ISBN: 978-960-6653-27-8. Κωδικός Βιβλίου στον Εύδοξο: 845</w:t>
              <w:br/>
              <w:t xml:space="preserve">Ι.Δ.Δημητρίου, Δ.Ι.Δημητρίου, ΠΕΡΙΒΑΛΛΟΝΤΙΚΗ ΥΔΡΑΥΛΙΚΗ, Εκδόσεις fountas, 2009, ISBN: 978960330675-7. Κωδικός Βιβλίου στον Εύδοξο: 4320</w:t>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Γκανούλης Ιάκωβος Γ., Υδραυλική περιβάλλοντος, Εκδόσεις Παρατηρητής, 1984, ISBN: 978-960-260-072-6. Κωδικός Βιβλίου στον Εύδοξο: 15191</w:t>
              <w:br/>
              <w:t xml:space="preserve">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ISBN: 978-960-603-378-0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