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Αποτύπωση, Αποκατάσταση και Επανάχρηση Κτιρίων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Αποτύπωση, Αποκατάσταση και Επανάχρηση Κτιρίων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κάθε φοιτητής αναμένεται να είναι σε θέση: </w:t>
              <w:br/>
              <w:t xml:space="preserve">- Να γνωρίζει, να κατανοεί και να περιγράφει τις κυριότερες σύγχρονες τάσεις σχετικά με την αποκατάσταση και επανάχρηση των κτηρίων. </w:t>
              <w:br/>
              <w:t xml:space="preserve">- Να αναγνωρίζει, να κατανοεί και να αναλύει την οικοδομική δραστηριότητα του παρελθόντος. </w:t>
              <w:br/>
              <w:t xml:space="preserve">- Να επιλέγει και να εφαρμόζει τεκμηριωμένα τη βέλτιστη μεθοδολογία αποτύπωσης κτηρίου και κτηριακού συνόλου. </w:t>
              <w:br/>
              <w:t xml:space="preserve">- Να γνωρίζει, να κατανοεί και να διαχειρίζεται μια σειρά θεωριών και μεθόδων για τη δημιουργία σχεδίων αποτύπωσης, παθολογίας και αναπαράστασης αρχικής μορφής. Να είναι σε θέση εφαρμογής (δημιουργίας, σχεδιασμού) των σχεδίων αυτών, με τρόπο τεκμηριωμένο και επιστημονικά ορθό. </w:t>
              <w:br/>
              <w:t xml:space="preserve">- Να αξιολογεί την επιτόπια μελέτη καθώς και τα σχέδια αποτύπωσης, παθολογίας κ.λπ., με σκοπό να επιλέγει και να προτείνει τεκμηριωμένα λύσεις επανάχρησης που θα είναι συμβατές με την ταυτότητα και την ιστορία του κτηρίου και τον χαρακτήρα της περιοχής. </w:t>
              <w:br/>
              <w:t xml:space="preserve">- Να συντάσει τεύχη τεχνικών εκθέσεων και παρουσίασης ανάλογων μελετών, να συνεργάζεται και να συμβάλει ως μέλος ομάδας μηχανικών στη σύνταξη ολοκληρωμένων τευχών μελετών και παρουσιάσεων αποτύπωσης, αποκατάστασης και επανάχρησης κτιρίων.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 </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Άσκηση κριτικής και αυτοκριτικής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Εισαγωγικό μάθημα στις σύγχρονες θεωρίες και μεθόδους μελέτης των κτηρίων και κτηριακών συνόλων του παρελθόντος με σκοπό να αναπτυχθεί η κριτική σκέψη στη λήψη αποφάσεων σχετικά με τη διαχείριση τους. Δίνεται ιδιαίτερη βαρύτητα στη μέθοδο της Αρχιτεκτονικής Αποτύπωσης ως μέσου καταγραφής και τεκμηρίωσης με σκοπό την Αποκατάσταση και την επαναχρησιμοποίηση των υφιστάμενων κελυφών.</w:t>
              <w:br/>
              <w:t xml:space="preserve"/>
              <w:br/>
              <w:t xml:space="preserve">- Περιεχόμενο διαλέξεων </w:t>
              <w:br/>
              <w:t xml:space="preserve">Βασικές έννοιες, ορισμοί, ορολογία, γενικές ισχύουσες αρχές, νομοθεσία, επιστημονική δεοντολογία ως προς τις επεμβάσεις σε υφιστάμενα διατηρητέα και μη κελύφη, η έννοια και η σημασία του μνημείου και του περιβάλλοντα χώρου του, σύγχρονες αντιλήψεις και παραδείγματα επεμβάσεων σε κτίρια με μνημειακό φορτίο. Έμφαση σε υλοποιημένες μελέτες αποκατάστασης-επανάχρησης κτιρίων και κτιριακών συγκροτημάτων.</w:t>
              <w:br/>
              <w:t xml:space="preserve"/>
              <w:br/>
              <w:t xml:space="preserve">- Περιεχόμενο ασκήσεων</w:t>
              <w:br/>
              <w:t xml:space="preserve">Θεωρίες και μέθοδοι προσέγγισης κτηρίων και κτηριακών συνόλων που χρήζουν αποτύπωσης και αποκατάστασης. Ανάλυση τρόπων άντλησης πληροφοριών μέσω βιβλιογραφίας και επιτόπιας έρευνας. Μεθοδολογίες αρχιτεκτονικής αποτύπωσης ανάλογα με το αντικείμενο μελέτης τους.</w:t>
              <w:br/>
              <w:t xml:space="preserve">Άσκηση πεδίου κατά την οποία εφαρμόζονται οι παραπάνω μεθοδολογίες καταγραφής και αποτύπωσης κτηρίων. Δημιουργία σχεδίων παθολογίας, τυπολογίας, ανάλυσης φάσεων και αναπαράστασης αρχικής μορφής των κτηρίων. Αξιολόγηση των πληροφοριών και των σχεδίων με σκοπό την αποκατάσταση των κτηρίων. Προτάσεις επανάχρησης στο πνεύμα των σύγχρονων θεωριών της αποκατάστασης.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Η χρήση Τ.Π.Ε. στη διδασκαλία της θεωρίας και των ασκήσεων του μαθήματος γίνεται ως εξής:</w:t>
              <w:br/>
              <w:t xml:space="preserve">-   Παρουσιάσεις διαλέξεων με χρήση Η/Υ (Powerpoint) εκ μέρους του διδάσκοντα, για τη θεωρία και τις ασκήσεις.</w:t>
              <w:br/>
              <w:t xml:space="preserve">-   Παρουσίαση θεμάτων ασκήσεων με χρήση Η/Υ (Powerpoint) εκ μέρους των φοιτητών, για τις ομαδικές και ατομικές εργασίες.  </w:t>
              <w:br/>
              <w:t xml:space="preserve">-   Χρήση εξειδικευμένου λογισμικού ψηφιακής σχεδίασης στην κλίμακα του κτιρίου (π.χ. AutoCAD) κατά τη διεξαγωγή του μαθήματος, για την εκπόνηση των ασκήσεων και των εργασιών. </w:t>
              <w:br/>
              <w:t xml:space="preserve">-   Υποστήριξη μαθησιακής διαδικασίας μέσω της ηλεκτρονικής πλατφόρμας e-learning του Τμήματος. </w:t>
              <w:br/>
              <w:t xml:space="preserve">-   Συναντήσεις εξ αποστάσεως διδάσκοντα και φοιτητών για συνεργασία σε ώρες εκτός μαθήματος (μέσω ψηφιακής πλατφόρμας π.χ. ΖΟΟΜ). </w:t>
              <w:br/>
              <w:t xml:space="preserve">-   Επικοινωνία διδάσκοντα και φοιτητών μέσω ηλεκτρονικού ταχυδρομείου (e-mail) για περαιτέρω υποστήριξη της διδακτικής διαδικασίας.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που εστιάζουν στην εφαρμογή μεθοδολογιών και συμπληρώνουν τις 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μελέτης – Project/ Εργασία μεγάλης διάρκειας ατομική ή σε ομάδες (επίλυση, σχεδιασμός/ συγγραφή, υποβολή/ παρουσίαση)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br/>
              <w:t xml:space="preserve">- Γραπτή εξέταση στη θεωρία : 50%</w:t>
              <w:br/>
              <w:t xml:space="preserve">- Σχεδιαστική (γραπτή) εξέταση σε ασκήσεις εφαρμογής μεθοδολογίας : 20%</w:t>
              <w:br/>
              <w:t xml:space="preserve">- Αξιολόγηση εκπόνησης μελέτης (Project) και λοιπών εργασιών, συνολικά : 30 % </w:t>
              <w:br/>
              <w:t xml:space="preserve">Η παραπάνω ποσόστωση παρουσιάζεται στο «Εισαγωγικό Φυλλάδιο» του μαθήματος, που αναρτάται στο e-learning/ ιστοσελίδα, την 1η εβδομάδα του εξαμήνου και διανέμεται ή/και παρουσιάζεται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Καραδέδος, Γ., Ιστορία και Θεωρία της Αποκατάστασης, Θεσσαλονίκη 2009.</w:t>
              <w:br/>
              <w:t xml:space="preserve">Νομικός, Μ., Αποκατάσταση - Επανάχρηση Ιστορικών Κτιρίων και Συνόλων, Θεσσαλονίκη 1997.</w:t>
              <w:br/>
              <w:t xml:space="preserve">Καραμάνου, Ζ., Αποκατάσταση Επανάχρηση Κτιρίων και Συνόλων. Αναβάθμιση Προβληματικών Οικιστικών Περιοχών, Θεσσαλονίκη 1997</w:t>
              <w:br/>
              <w:t xml:space="preserve">Σημείωση: Η βιβλιογραφία του μαθήματος επικαιροποιείται κάθε χρόνο μέσω του συστήματος ΕΥΔΟΞΟΣ</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